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jc w:val="center"/>
      </w:pPr>
      <w:r>
        <w:rPr>
          <w:rFonts w:ascii="Arial" w:cs="Arial" w:eastAsia="Arial" w:hAnsi="Arial"/>
          <w:b/>
          <w:bCs/>
          <w:color w:val="1A1A2E"/>
          <w:sz w:val="52"/>
          <w:szCs w:val="52"/>
        </w:rPr>
        <w:t xml:space="preserve">HomeGuard Pro</w:t>
      </w:r>
    </w:p>
    <w:p>
      <w:pPr>
        <w:spacing w:before="0" w:after="80"/>
        <w:jc w:val="center"/>
      </w:pPr>
      <w:r>
        <w:rPr>
          <w:rFonts w:ascii="Arial" w:cs="Arial" w:eastAsia="Arial" w:hAnsi="Arial"/>
          <w:color w:val="666666"/>
          <w:sz w:val="26"/>
          <w:szCs w:val="26"/>
        </w:rPr>
        <w:t xml:space="preserve">by RCE Electrical &amp; Plumbing Services (Pty) Ltd</w:t>
      </w:r>
    </w:p>
    <w:p>
      <w:pPr>
        <w:spacing w:before="0" w:after="80"/>
        <w:jc w:val="center"/>
      </w:pPr>
      <w:r>
        <w:rPr>
          <w:rFonts w:ascii="Arial" w:cs="Arial" w:eastAsia="Arial" w:hAnsi="Arial"/>
          <w:b/>
          <w:bCs/>
          <w:color w:val="C8820A"/>
          <w:sz w:val="36"/>
          <w:szCs w:val="36"/>
        </w:rPr>
        <w:t xml:space="preserve">Subscription Terms &amp; Conditions</w:t>
      </w:r>
    </w:p>
    <w:p>
      <w:pPr>
        <w:spacing w:before="0" w:after="480"/>
        <w:jc w:val="center"/>
      </w:pPr>
      <w:r>
        <w:rPr>
          <w:rFonts w:ascii="Arial" w:cs="Arial" w:eastAsia="Arial" w:hAnsi="Arial"/>
          <w:color w:val="888888"/>
          <w:sz w:val="20"/>
          <w:szCs w:val="20"/>
        </w:rPr>
        <w:t xml:space="preserve">Version 2.0 — Effective 1 April 2026</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1. Parties and Definitions</w:t>
      </w:r>
    </w:p>
    <w:p>
      <w:pPr>
        <w:spacing w:before="60" w:after="60"/>
        <w:jc w:val="both"/>
      </w:pPr>
      <w:r>
        <w:rPr>
          <w:rFonts w:ascii="Arial" w:cs="Arial" w:eastAsia="Arial" w:hAnsi="Arial"/>
          <w:sz w:val="22"/>
          <w:szCs w:val="22"/>
        </w:rPr>
        <w:t xml:space="preserve">These Terms and Conditions govern the subscription relationship between HomeGuard Pro (Pty) Ltd, a division of RCE Electrical &amp; Plumbing Services (Pty) Ltd (Registration Number: pending), trading as HomeGuard Pro ("the Company", "we", "us"), and the individual or entity subscribing to the HomeGuard Pro platform ("the Member", "you").</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1.1 Definitions</w:t>
      </w:r>
    </w:p>
    <w:p>
      <w:pPr>
        <w:spacing w:before="60" w:after="60"/>
        <w:jc w:val="both"/>
      </w:pPr>
      <w:r>
        <w:rPr>
          <w:rFonts w:ascii="Arial" w:cs="Arial" w:eastAsia="Arial" w:hAnsi="Arial"/>
          <w:b/>
          <w:bCs/>
          <w:sz w:val="22"/>
          <w:szCs w:val="22"/>
        </w:rPr>
        <w:t xml:space="preserve">Platform: </w:t>
      </w:r>
      <w:r>
        <w:rPr>
          <w:rFonts w:ascii="Arial" w:cs="Arial" w:eastAsia="Arial" w:hAnsi="Arial"/>
          <w:sz w:val="22"/>
          <w:szCs w:val="22"/>
        </w:rPr>
        <w:t xml:space="preserve">The HomeGuard Pro digital home management platform, including the mobile application, web portal, Home Health Score, automated alert system, and booking engine.</w:t>
      </w:r>
    </w:p>
    <w:p>
      <w:pPr>
        <w:spacing w:before="60" w:after="60"/>
        <w:jc w:val="both"/>
      </w:pPr>
      <w:r>
        <w:rPr>
          <w:rFonts w:ascii="Arial" w:cs="Arial" w:eastAsia="Arial" w:hAnsi="Arial"/>
          <w:b/>
          <w:bCs/>
          <w:sz w:val="22"/>
          <w:szCs w:val="22"/>
        </w:rPr>
        <w:t xml:space="preserve">Subscription: </w:t>
      </w:r>
      <w:r>
        <w:rPr>
          <w:rFonts w:ascii="Arial" w:cs="Arial" w:eastAsia="Arial" w:hAnsi="Arial"/>
          <w:sz w:val="22"/>
          <w:szCs w:val="22"/>
        </w:rPr>
        <w:t xml:space="preserve">A monthly recurring agreement granting the Member access to the Platform and, depending on the selected Plan, a defined number of Service Credits.</w:t>
      </w:r>
    </w:p>
    <w:p>
      <w:pPr>
        <w:spacing w:before="60" w:after="60"/>
        <w:jc w:val="both"/>
      </w:pPr>
      <w:r>
        <w:rPr>
          <w:rFonts w:ascii="Arial" w:cs="Arial" w:eastAsia="Arial" w:hAnsi="Arial"/>
          <w:b/>
          <w:bCs/>
          <w:sz w:val="22"/>
          <w:szCs w:val="22"/>
        </w:rPr>
        <w:t xml:space="preserve">Plan: </w:t>
      </w:r>
      <w:r>
        <w:rPr>
          <w:rFonts w:ascii="Arial" w:cs="Arial" w:eastAsia="Arial" w:hAnsi="Arial"/>
          <w:sz w:val="22"/>
          <w:szCs w:val="22"/>
        </w:rPr>
        <w:t xml:space="preserve">The selected subscription tier — Bronze, Silver, Gold, or Custom — each with defined inclusions as set out in Schedule A.</w:t>
      </w:r>
    </w:p>
    <w:p>
      <w:pPr>
        <w:spacing w:before="60" w:after="60"/>
        <w:jc w:val="both"/>
      </w:pPr>
      <w:r>
        <w:rPr>
          <w:rFonts w:ascii="Arial" w:cs="Arial" w:eastAsia="Arial" w:hAnsi="Arial"/>
          <w:b/>
          <w:bCs/>
          <w:sz w:val="22"/>
          <w:szCs w:val="22"/>
        </w:rPr>
        <w:t xml:space="preserve">Service Credit: </w:t>
      </w:r>
      <w:r>
        <w:rPr>
          <w:rFonts w:ascii="Arial" w:cs="Arial" w:eastAsia="Arial" w:hAnsi="Arial"/>
          <w:sz w:val="22"/>
          <w:szCs w:val="22"/>
        </w:rPr>
        <w:t xml:space="preserve">One (1) credit entitles the Member to one call-out by an employed RCE technician, inclusive of the standard call-out fee and the first full hour of labour and diagnosis on site. Each additional hour on site, or part thereof, consumes one additional credit. Parts and materials are not included in any credit and are quoted separately before work commences.</w:t>
      </w:r>
    </w:p>
    <w:p>
      <w:pPr>
        <w:spacing w:before="60" w:after="60"/>
        <w:jc w:val="both"/>
      </w:pPr>
      <w:r>
        <w:rPr>
          <w:rFonts w:ascii="Arial" w:cs="Arial" w:eastAsia="Arial" w:hAnsi="Arial"/>
          <w:b/>
          <w:bCs/>
          <w:sz w:val="22"/>
          <w:szCs w:val="22"/>
        </w:rPr>
        <w:t xml:space="preserve">Bundle: </w:t>
      </w:r>
      <w:r>
        <w:rPr>
          <w:rFonts w:ascii="Arial" w:cs="Arial" w:eastAsia="Arial" w:hAnsi="Arial"/>
          <w:sz w:val="22"/>
          <w:szCs w:val="22"/>
        </w:rPr>
        <w:t xml:space="preserve">An optional monthly add-on that pre-schedules specific tracked services at the R700 member credit rate, spread into fixed monthly payments. Bundles are available in addition to any Plan.</w:t>
      </w:r>
    </w:p>
    <w:p>
      <w:pPr>
        <w:spacing w:before="60" w:after="60"/>
        <w:jc w:val="both"/>
      </w:pPr>
      <w:r>
        <w:rPr>
          <w:rFonts w:ascii="Arial" w:cs="Arial" w:eastAsia="Arial" w:hAnsi="Arial"/>
          <w:b/>
          <w:bCs/>
          <w:sz w:val="22"/>
          <w:szCs w:val="22"/>
        </w:rPr>
        <w:t xml:space="preserve">Service: </w:t>
      </w:r>
      <w:r>
        <w:rPr>
          <w:rFonts w:ascii="Arial" w:cs="Arial" w:eastAsia="Arial" w:hAnsi="Arial"/>
          <w:sz w:val="22"/>
          <w:szCs w:val="22"/>
        </w:rPr>
        <w:t xml:space="preserve">Any of the 18 tracked home maintenance services listed in Schedule B, performed by an employed RCE technician.</w:t>
      </w:r>
    </w:p>
    <w:p>
      <w:pPr>
        <w:spacing w:before="60" w:after="60"/>
        <w:jc w:val="both"/>
      </w:pPr>
      <w:r>
        <w:rPr>
          <w:rFonts w:ascii="Arial" w:cs="Arial" w:eastAsia="Arial" w:hAnsi="Arial"/>
          <w:b/>
          <w:bCs/>
          <w:sz w:val="22"/>
          <w:szCs w:val="22"/>
        </w:rPr>
        <w:t xml:space="preserve">Member Rate: </w:t>
      </w:r>
      <w:r>
        <w:rPr>
          <w:rFonts w:ascii="Arial" w:cs="Arial" w:eastAsia="Arial" w:hAnsi="Arial"/>
          <w:sz w:val="22"/>
          <w:szCs w:val="22"/>
        </w:rPr>
        <w:t xml:space="preserve">R700 (seven hundred rand) per additional credit consumed beyond the Member's included Plan credits, applicable to all Members on any active Silver or Gold Plan in good standing and beyond the minimum commitment period.</w:t>
      </w:r>
    </w:p>
    <w:p>
      <w:pPr>
        <w:spacing w:before="60" w:after="60"/>
        <w:jc w:val="both"/>
      </w:pPr>
      <w:r>
        <w:rPr>
          <w:rFonts w:ascii="Arial" w:cs="Arial" w:eastAsia="Arial" w:hAnsi="Arial"/>
          <w:b/>
          <w:bCs/>
          <w:sz w:val="22"/>
          <w:szCs w:val="22"/>
        </w:rPr>
        <w:t xml:space="preserve">Standard Rate: </w:t>
      </w:r>
      <w:r>
        <w:rPr>
          <w:rFonts w:ascii="Arial" w:cs="Arial" w:eastAsia="Arial" w:hAnsi="Arial"/>
          <w:sz w:val="22"/>
          <w:szCs w:val="22"/>
        </w:rPr>
        <w:t xml:space="preserve">R950 (nine hundred and fifty rand) per credit — the walk-in rate applicable to non-members and to early-cancelling members as set out in Section 7.1.2.</w:t>
      </w:r>
    </w:p>
    <w:p>
      <w:pPr>
        <w:spacing w:before="60" w:after="60"/>
        <w:jc w:val="both"/>
      </w:pPr>
      <w:r>
        <w:rPr>
          <w:rFonts w:ascii="Arial" w:cs="Arial" w:eastAsia="Arial" w:hAnsi="Arial"/>
          <w:b/>
          <w:bCs/>
          <w:sz w:val="22"/>
          <w:szCs w:val="22"/>
        </w:rPr>
        <w:t xml:space="preserve">Abuse Rate: </w:t>
      </w:r>
      <w:r>
        <w:rPr>
          <w:rFonts w:ascii="Arial" w:cs="Arial" w:eastAsia="Arial" w:hAnsi="Arial"/>
          <w:sz w:val="22"/>
          <w:szCs w:val="22"/>
        </w:rPr>
        <w:t xml:space="preserve">R950 (nine hundred and fifty rand) per credit — the Standard Rate applied retrospectively to credits consumed by Members who cancel within the minimum commitment period or whose subscriptions are terminated under Section 7.2.1. The Abuse Rate is not a penalty but a clawback of the conditional discount granted under the Member Rate.</w:t>
      </w:r>
    </w:p>
    <w:p>
      <w:pPr>
        <w:spacing w:before="60" w:after="60"/>
        <w:jc w:val="both"/>
      </w:pPr>
      <w:r>
        <w:rPr>
          <w:rFonts w:ascii="Arial" w:cs="Arial" w:eastAsia="Arial" w:hAnsi="Arial"/>
          <w:b/>
          <w:bCs/>
          <w:sz w:val="22"/>
          <w:szCs w:val="22"/>
        </w:rPr>
        <w:t xml:space="preserve">Escrow: </w:t>
      </w:r>
      <w:r>
        <w:rPr>
          <w:rFonts w:ascii="Arial" w:cs="Arial" w:eastAsia="Arial" w:hAnsi="Arial"/>
          <w:sz w:val="22"/>
          <w:szCs w:val="22"/>
        </w:rPr>
        <w:t xml:space="preserve">The payment holding mechanism through which the Member's funds are secured pending satisfactory completion of work, as administered by the Platform's payment processor.</w:t>
      </w:r>
    </w:p>
    <w:p>
      <w:pPr>
        <w:spacing w:before="60" w:after="60"/>
        <w:jc w:val="both"/>
      </w:pPr>
      <w:r>
        <w:rPr>
          <w:rFonts w:ascii="Arial" w:cs="Arial" w:eastAsia="Arial" w:hAnsi="Arial"/>
          <w:b/>
          <w:bCs/>
          <w:sz w:val="22"/>
          <w:szCs w:val="22"/>
        </w:rPr>
        <w:t xml:space="preserve">COC: </w:t>
      </w:r>
      <w:r>
        <w:rPr>
          <w:rFonts w:ascii="Arial" w:cs="Arial" w:eastAsia="Arial" w:hAnsi="Arial"/>
          <w:sz w:val="22"/>
          <w:szCs w:val="22"/>
        </w:rPr>
        <w:t xml:space="preserve">Certificate of Compliance, issued where required by applicable SANS standards (SANS 10254, SANS 10222-3:2023, SANS 10142, SANS 10087) or regulatory body (PIRB, DOL, EFSI).</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2. Subscription Plans</w:t>
      </w:r>
    </w:p>
    <w:p>
      <w:pPr>
        <w:spacing w:before="60" w:after="60"/>
        <w:jc w:val="both"/>
      </w:pPr>
      <w:r>
        <w:rPr>
          <w:rFonts w:ascii="Arial" w:cs="Arial" w:eastAsia="Arial" w:hAnsi="Arial"/>
          <w:sz w:val="22"/>
          <w:szCs w:val="22"/>
        </w:rPr>
        <w:t xml:space="preserve">HomeGuard Pro offers three standard Plans and a Custom tier for estates, body corporates, and property management companies. Plan details are set out in Schedule A and on the HomeGuard Pro pricing page at homeguardpro.co.za/pricing.</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2.1 Bronze — R199/month</w:t>
      </w:r>
    </w:p>
    <w:p>
      <w:pPr>
        <w:pStyle w:val="ListParagraph"/>
        <w:numPr>
          <w:ilvl w:val="0"/>
          <w:numId w:val="1"/>
        </w:numPr>
        <w:spacing w:before="40" w:after="40"/>
        <w:jc w:val="both"/>
      </w:pPr>
      <w:r>
        <w:rPr>
          <w:rFonts w:ascii="Arial" w:cs="Arial" w:eastAsia="Arial" w:hAnsi="Arial"/>
          <w:sz w:val="22"/>
          <w:szCs w:val="22"/>
        </w:rPr>
        <w:t xml:space="preserve">Full access to the HomeGuard Pro Platform</w:t>
      </w:r>
    </w:p>
    <w:p>
      <w:pPr>
        <w:pStyle w:val="ListParagraph"/>
        <w:numPr>
          <w:ilvl w:val="0"/>
          <w:numId w:val="1"/>
        </w:numPr>
        <w:spacing w:before="40" w:after="40"/>
        <w:jc w:val="both"/>
      </w:pPr>
      <w:r>
        <w:rPr>
          <w:rFonts w:ascii="Arial" w:cs="Arial" w:eastAsia="Arial" w:hAnsi="Arial"/>
          <w:sz w:val="22"/>
          <w:szCs w:val="22"/>
        </w:rPr>
        <w:t xml:space="preserve">Home Health Score (0–100) across all tracked systems</w:t>
      </w:r>
    </w:p>
    <w:p>
      <w:pPr>
        <w:pStyle w:val="ListParagraph"/>
        <w:numPr>
          <w:ilvl w:val="0"/>
          <w:numId w:val="1"/>
        </w:numPr>
        <w:spacing w:before="40" w:after="40"/>
        <w:jc w:val="both"/>
      </w:pPr>
      <w:r>
        <w:rPr>
          <w:rFonts w:ascii="Arial" w:cs="Arial" w:eastAsia="Arial" w:hAnsi="Arial"/>
          <w:sz w:val="22"/>
          <w:szCs w:val="22"/>
        </w:rPr>
        <w:t xml:space="preserve">Automatic service alerts when systems are due</w:t>
      </w:r>
    </w:p>
    <w:p>
      <w:pPr>
        <w:pStyle w:val="ListParagraph"/>
        <w:numPr>
          <w:ilvl w:val="0"/>
          <w:numId w:val="1"/>
        </w:numPr>
        <w:spacing w:before="40" w:after="40"/>
        <w:jc w:val="both"/>
      </w:pPr>
      <w:r>
        <w:rPr>
          <w:rFonts w:ascii="Arial" w:cs="Arial" w:eastAsia="Arial" w:hAnsi="Arial"/>
          <w:sz w:val="22"/>
          <w:szCs w:val="22"/>
        </w:rPr>
        <w:t xml:space="preserve">Booking access to employed RCE technicians</w:t>
      </w:r>
    </w:p>
    <w:p>
      <w:pPr>
        <w:pStyle w:val="ListParagraph"/>
        <w:numPr>
          <w:ilvl w:val="0"/>
          <w:numId w:val="1"/>
        </w:numPr>
        <w:spacing w:before="40" w:after="40"/>
        <w:jc w:val="both"/>
      </w:pPr>
      <w:r>
        <w:rPr>
          <w:rFonts w:ascii="Arial" w:cs="Arial" w:eastAsia="Arial" w:hAnsi="Arial"/>
          <w:sz w:val="22"/>
          <w:szCs w:val="22"/>
        </w:rPr>
        <w:t xml:space="preserve">Timestamped digital service reports on every completed job</w:t>
      </w:r>
    </w:p>
    <w:p>
      <w:pPr>
        <w:pStyle w:val="ListParagraph"/>
        <w:numPr>
          <w:ilvl w:val="0"/>
          <w:numId w:val="1"/>
        </w:numPr>
        <w:spacing w:before="40" w:after="40"/>
        <w:jc w:val="both"/>
      </w:pPr>
      <w:r>
        <w:rPr>
          <w:rFonts w:ascii="Arial" w:cs="Arial" w:eastAsia="Arial" w:hAnsi="Arial"/>
          <w:sz w:val="22"/>
          <w:szCs w:val="22"/>
        </w:rPr>
        <w:t xml:space="preserve">No Service Credits included — services booked at Member Rate of R700/credit</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2.2 Silver — R399/month</w:t>
      </w:r>
    </w:p>
    <w:p>
      <w:pPr>
        <w:pStyle w:val="ListParagraph"/>
        <w:numPr>
          <w:ilvl w:val="0"/>
          <w:numId w:val="1"/>
        </w:numPr>
        <w:spacing w:before="40" w:after="40"/>
        <w:jc w:val="both"/>
      </w:pPr>
      <w:r>
        <w:rPr>
          <w:rFonts w:ascii="Arial" w:cs="Arial" w:eastAsia="Arial" w:hAnsi="Arial"/>
          <w:sz w:val="22"/>
          <w:szCs w:val="22"/>
        </w:rPr>
        <w:t xml:space="preserve">Everything included in Bronze</w:t>
      </w:r>
    </w:p>
    <w:p>
      <w:pPr>
        <w:pStyle w:val="ListParagraph"/>
        <w:numPr>
          <w:ilvl w:val="0"/>
          <w:numId w:val="1"/>
        </w:numPr>
        <w:spacing w:before="40" w:after="40"/>
        <w:jc w:val="both"/>
      </w:pPr>
      <w:r>
        <w:rPr>
          <w:rFonts w:ascii="Arial" w:cs="Arial" w:eastAsia="Arial" w:hAnsi="Arial"/>
          <w:sz w:val="22"/>
          <w:szCs w:val="22"/>
        </w:rPr>
        <w:t xml:space="preserve">2 (two) Service Credits included per annum</w:t>
      </w:r>
    </w:p>
    <w:p>
      <w:pPr>
        <w:pStyle w:val="ListParagraph"/>
        <w:numPr>
          <w:ilvl w:val="0"/>
          <w:numId w:val="1"/>
        </w:numPr>
        <w:spacing w:before="40" w:after="40"/>
        <w:jc w:val="both"/>
      </w:pPr>
      <w:r>
        <w:rPr>
          <w:rFonts w:ascii="Arial" w:cs="Arial" w:eastAsia="Arial" w:hAnsi="Arial"/>
          <w:sz w:val="22"/>
          <w:szCs w:val="22"/>
        </w:rPr>
        <w:t xml:space="preserve">10% member discount applied to all non-credit service billing</w:t>
      </w:r>
    </w:p>
    <w:p>
      <w:pPr>
        <w:pStyle w:val="ListParagraph"/>
        <w:numPr>
          <w:ilvl w:val="0"/>
          <w:numId w:val="1"/>
        </w:numPr>
        <w:spacing w:before="40" w:after="40"/>
        <w:jc w:val="both"/>
      </w:pPr>
      <w:r>
        <w:rPr>
          <w:rFonts w:ascii="Arial" w:cs="Arial" w:eastAsia="Arial" w:hAnsi="Arial"/>
          <w:sz w:val="22"/>
          <w:szCs w:val="22"/>
        </w:rPr>
        <w:t xml:space="preserve">Priority booking slot access</w:t>
      </w:r>
    </w:p>
    <w:p>
      <w:pPr>
        <w:pStyle w:val="ListParagraph"/>
        <w:numPr>
          <w:ilvl w:val="0"/>
          <w:numId w:val="1"/>
        </w:numPr>
        <w:spacing w:before="40" w:after="40"/>
        <w:jc w:val="both"/>
      </w:pPr>
      <w:r>
        <w:rPr>
          <w:rFonts w:ascii="Arial" w:cs="Arial" w:eastAsia="Arial" w:hAnsi="Arial"/>
          <w:sz w:val="22"/>
          <w:szCs w:val="22"/>
        </w:rPr>
        <w:t xml:space="preserve">Unused credits roll over while the subscription remains active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2.3 Gold — R699/month</w:t>
      </w:r>
    </w:p>
    <w:p>
      <w:pPr>
        <w:pStyle w:val="ListParagraph"/>
        <w:numPr>
          <w:ilvl w:val="0"/>
          <w:numId w:val="1"/>
        </w:numPr>
        <w:spacing w:before="40" w:after="40"/>
        <w:jc w:val="both"/>
      </w:pPr>
      <w:r>
        <w:rPr>
          <w:rFonts w:ascii="Arial" w:cs="Arial" w:eastAsia="Arial" w:hAnsi="Arial"/>
          <w:sz w:val="22"/>
          <w:szCs w:val="22"/>
        </w:rPr>
        <w:t xml:space="preserve">Everything included in Silver</w:t>
      </w:r>
    </w:p>
    <w:p>
      <w:pPr>
        <w:pStyle w:val="ListParagraph"/>
        <w:numPr>
          <w:ilvl w:val="0"/>
          <w:numId w:val="1"/>
        </w:numPr>
        <w:spacing w:before="40" w:after="40"/>
        <w:jc w:val="both"/>
      </w:pPr>
      <w:r>
        <w:rPr>
          <w:rFonts w:ascii="Arial" w:cs="Arial" w:eastAsia="Arial" w:hAnsi="Arial"/>
          <w:sz w:val="22"/>
          <w:szCs w:val="22"/>
        </w:rPr>
        <w:t xml:space="preserve">4 (four) Service Credits included per annum</w:t>
      </w:r>
    </w:p>
    <w:p>
      <w:pPr>
        <w:pStyle w:val="ListParagraph"/>
        <w:numPr>
          <w:ilvl w:val="0"/>
          <w:numId w:val="1"/>
        </w:numPr>
        <w:spacing w:before="40" w:after="40"/>
        <w:jc w:val="both"/>
      </w:pPr>
      <w:r>
        <w:rPr>
          <w:rFonts w:ascii="Arial" w:cs="Arial" w:eastAsia="Arial" w:hAnsi="Arial"/>
          <w:sz w:val="22"/>
          <w:szCs w:val="22"/>
        </w:rPr>
        <w:t xml:space="preserve">15% member discount applied to all non-credit service billing</w:t>
      </w:r>
    </w:p>
    <w:p>
      <w:pPr>
        <w:pStyle w:val="ListParagraph"/>
        <w:numPr>
          <w:ilvl w:val="0"/>
          <w:numId w:val="1"/>
        </w:numPr>
        <w:spacing w:before="40" w:after="40"/>
        <w:jc w:val="both"/>
      </w:pPr>
      <w:r>
        <w:rPr>
          <w:rFonts w:ascii="Arial" w:cs="Arial" w:eastAsia="Arial" w:hAnsi="Arial"/>
          <w:sz w:val="22"/>
          <w:szCs w:val="22"/>
        </w:rPr>
        <w:t xml:space="preserve">Priority booking slot access</w:t>
      </w:r>
    </w:p>
    <w:p>
      <w:pPr>
        <w:pStyle w:val="ListParagraph"/>
        <w:numPr>
          <w:ilvl w:val="0"/>
          <w:numId w:val="1"/>
        </w:numPr>
        <w:spacing w:before="40" w:after="40"/>
        <w:jc w:val="both"/>
      </w:pPr>
      <w:r>
        <w:rPr>
          <w:rFonts w:ascii="Arial" w:cs="Arial" w:eastAsia="Arial" w:hAnsi="Arial"/>
          <w:sz w:val="22"/>
          <w:szCs w:val="22"/>
        </w:rPr>
        <w:t xml:space="preserve">Unused credits roll over while the subscription remains active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2.4 Custom — Quoted individually</w:t>
      </w:r>
    </w:p>
    <w:p>
      <w:pPr>
        <w:pStyle w:val="ListParagraph"/>
        <w:numPr>
          <w:ilvl w:val="0"/>
          <w:numId w:val="1"/>
        </w:numPr>
        <w:spacing w:before="40" w:after="40"/>
        <w:jc w:val="both"/>
      </w:pPr>
      <w:r>
        <w:rPr>
          <w:rFonts w:ascii="Arial" w:cs="Arial" w:eastAsia="Arial" w:hAnsi="Arial"/>
          <w:sz w:val="22"/>
          <w:szCs w:val="22"/>
        </w:rPr>
        <w:t xml:space="preserve">Designed for estates, body corporates, sectional title schemes, and property management companies</w:t>
      </w:r>
    </w:p>
    <w:p>
      <w:pPr>
        <w:pStyle w:val="ListParagraph"/>
        <w:numPr>
          <w:ilvl w:val="0"/>
          <w:numId w:val="1"/>
        </w:numPr>
        <w:spacing w:before="40" w:after="40"/>
        <w:jc w:val="both"/>
      </w:pPr>
      <w:r>
        <w:rPr>
          <w:rFonts w:ascii="Arial" w:cs="Arial" w:eastAsia="Arial" w:hAnsi="Arial"/>
          <w:sz w:val="22"/>
          <w:szCs w:val="22"/>
        </w:rPr>
        <w:t xml:space="preserve">Pricing, credit allocation, and service scope agreed individually by written quotation</w:t>
      </w:r>
    </w:p>
    <w:p>
      <w:pPr>
        <w:pStyle w:val="ListParagraph"/>
        <w:numPr>
          <w:ilvl w:val="0"/>
          <w:numId w:val="1"/>
        </w:numPr>
        <w:spacing w:before="40" w:after="40"/>
        <w:jc w:val="both"/>
      </w:pPr>
      <w:r>
        <w:rPr>
          <w:rFonts w:ascii="Arial" w:cs="Arial" w:eastAsia="Arial" w:hAnsi="Arial"/>
          <w:sz w:val="22"/>
          <w:szCs w:val="22"/>
        </w:rPr>
        <w:t xml:space="preserve">Minimum term and cancellation terms as specified in the individual agreement</w:t>
      </w:r>
    </w:p>
    <w:p>
      <w:pPr>
        <w:pStyle w:val="ListParagraph"/>
        <w:numPr>
          <w:ilvl w:val="0"/>
          <w:numId w:val="1"/>
        </w:numPr>
        <w:spacing w:before="40" w:after="40"/>
        <w:jc w:val="both"/>
      </w:pPr>
      <w:r>
        <w:rPr>
          <w:rFonts w:ascii="Arial" w:cs="Arial" w:eastAsia="Arial" w:hAnsi="Arial"/>
          <w:sz w:val="22"/>
          <w:szCs w:val="22"/>
        </w:rPr>
        <w:t xml:space="preserve">All other terms of this document apply unless expressly varied in writing</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3. Service Credits</w:t>
      </w:r>
    </w:p>
    <w:p>
      <w:pPr>
        <w:pStyle w:val="Heading2"/>
        <w:spacing w:before="280" w:after="80"/>
      </w:pPr>
      <w:r>
        <w:rPr>
          <w:rFonts w:ascii="Arial" w:cs="Arial" w:eastAsia="Arial" w:hAnsi="Arial"/>
          <w:b/>
          <w:bCs/>
          <w:color w:val="C8820A"/>
          <w:sz w:val="24"/>
          <w:szCs w:val="24"/>
        </w:rPr>
        <w:t xml:space="preserve">3.1 Credit definition</w:t>
      </w:r>
    </w:p>
    <w:p>
      <w:pPr>
        <w:spacing w:before="60" w:after="60"/>
        <w:jc w:val="both"/>
      </w:pPr>
      <w:r>
        <w:rPr>
          <w:rFonts w:ascii="Arial" w:cs="Arial" w:eastAsia="Arial" w:hAnsi="Arial"/>
          <w:sz w:val="22"/>
          <w:szCs w:val="22"/>
        </w:rPr>
        <w:t xml:space="preserve">One (1) Service Credit covers the standard call-out fee plus the first full hour of on-site labour and diagnosis by an employed RCE technician. This is the complete unit of service entitlement. Parts, materials, replacement components, and specialist subcontractor costs are excluded from credits and are always quoted separately in writing before any work commences.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3.2 Additional credit consumption</w:t>
      </w:r>
    </w:p>
    <w:p>
      <w:pPr>
        <w:spacing w:before="60" w:after="60"/>
        <w:jc w:val="both"/>
      </w:pPr>
      <w:r>
        <w:rPr>
          <w:rFonts w:ascii="Arial" w:cs="Arial" w:eastAsia="Arial" w:hAnsi="Arial"/>
          <w:sz w:val="22"/>
          <w:szCs w:val="22"/>
        </w:rPr>
        <w:t xml:space="preserve">Where a service requires more than one hour on site, each additional hour or part thereof consumes one additional credit. The technician will notify the Member before commencing work that exceeds the first credit. The Member must approve in writing (via the Platform) before additional credits are consumed.</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3.3 Member Rate for additional credits</w:t>
      </w:r>
    </w:p>
    <w:p>
      <w:pPr>
        <w:spacing w:before="60" w:after="60"/>
        <w:jc w:val="both"/>
      </w:pPr>
      <w:r>
        <w:rPr>
          <w:rFonts w:ascii="Arial" w:cs="Arial" w:eastAsia="Arial" w:hAnsi="Arial"/>
          <w:sz w:val="22"/>
          <w:szCs w:val="22"/>
        </w:rPr>
        <w:t xml:space="preserve">Members on any active Plan may purchase additional credits at the Member Rate of R700 (seven hundred rand) per credit. This rate applies at the time of booking and is confirmed in the in-app quote before work begins. The Member Rate is subject to annual review with 30 days written notice.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3.4 Credit rollover</w:t>
      </w:r>
    </w:p>
    <w:p>
      <w:pPr>
        <w:spacing w:before="60" w:after="60"/>
        <w:jc w:val="both"/>
      </w:pPr>
      <w:r>
        <w:rPr>
          <w:rFonts w:ascii="Arial" w:cs="Arial" w:eastAsia="Arial" w:hAnsi="Arial"/>
          <w:sz w:val="22"/>
          <w:szCs w:val="22"/>
        </w:rPr>
        <w:t xml:space="preserve">Unused Service Credits roll over from month to month and from year to year while the Member's subscription remains active and in good standing. Credits are forfeited immediately upon cancellation of the subscription and are not refundable in cash.</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3.5 Credit expiry</w:t>
      </w:r>
    </w:p>
    <w:p>
      <w:pPr>
        <w:spacing w:before="60" w:after="60"/>
        <w:jc w:val="both"/>
      </w:pPr>
      <w:r>
        <w:rPr>
          <w:rFonts w:ascii="Arial" w:cs="Arial" w:eastAsia="Arial" w:hAnsi="Arial"/>
          <w:sz w:val="22"/>
          <w:szCs w:val="22"/>
        </w:rPr>
        <w:t xml:space="preserve">Credits do not expire while the subscription is active. Forfeiture occurs only on cancellation, suspension for non-payment exceeding 30 days, or written agreement between the parties.</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4. Service Bundles</w:t>
      </w:r>
    </w:p>
    <w:p>
      <w:pPr>
        <w:pStyle w:val="Heading2"/>
        <w:spacing w:before="280" w:after="80"/>
      </w:pPr>
      <w:r>
        <w:rPr>
          <w:rFonts w:ascii="Arial" w:cs="Arial" w:eastAsia="Arial" w:hAnsi="Arial"/>
          <w:b/>
          <w:bCs/>
          <w:color w:val="C8820A"/>
          <w:sz w:val="24"/>
          <w:szCs w:val="24"/>
        </w:rPr>
        <w:t xml:space="preserve">4.1 What bundles are</w:t>
      </w:r>
    </w:p>
    <w:p>
      <w:pPr>
        <w:spacing w:before="60" w:after="60"/>
        <w:jc w:val="both"/>
      </w:pPr>
      <w:r>
        <w:rPr>
          <w:rFonts w:ascii="Arial" w:cs="Arial" w:eastAsia="Arial" w:hAnsi="Arial"/>
          <w:sz w:val="22"/>
          <w:szCs w:val="22"/>
        </w:rPr>
        <w:t xml:space="preserve">Service Bundles are optional monthly add-ons that pre-schedule specific tracked services at the Member Rate of R700/credit, spread into fixed monthly payments. Bundles do not consume Plan credits — they are separate pre-paid service commitments added to the Member's monthly bill.</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4.2 Bundle pricing basis</w:t>
      </w:r>
    </w:p>
    <w:p>
      <w:pPr>
        <w:spacing w:before="60" w:after="60"/>
        <w:jc w:val="both"/>
      </w:pPr>
      <w:r>
        <w:rPr>
          <w:rFonts w:ascii="Arial" w:cs="Arial" w:eastAsia="Arial" w:hAnsi="Arial"/>
          <w:sz w:val="22"/>
          <w:szCs w:val="22"/>
        </w:rPr>
        <w:t xml:space="preserve">Bundle monthly cost = (credits per visit × number of visits per year × R700) ÷ 12, rounded to the nearest rand. The complete Schedule B Service &amp; Bundle Table sets out the credit weight, visit frequency, and monthly bundle cost for each of the 18 tracked services.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4.3 Bundle scheduling</w:t>
      </w:r>
    </w:p>
    <w:p>
      <w:pPr>
        <w:spacing w:before="60" w:after="60"/>
        <w:jc w:val="both"/>
      </w:pPr>
      <w:r>
        <w:rPr>
          <w:rFonts w:ascii="Arial" w:cs="Arial" w:eastAsia="Arial" w:hAnsi="Arial"/>
          <w:sz w:val="22"/>
          <w:szCs w:val="22"/>
        </w:rPr>
        <w:t xml:space="preserve">On activation of a Bundle, the Platform schedules the relevant service visits for the Member's property based on the standard service interval. The Member will receive automated alerts and booking prompts ahead of each scheduled visit. Rescheduling is permitted with a minimum of 48 hours notice via the Platform.</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4.4 Bundle cancellation</w:t>
      </w:r>
    </w:p>
    <w:p>
      <w:pPr>
        <w:spacing w:before="60" w:after="60"/>
        <w:jc w:val="both"/>
      </w:pPr>
      <w:r>
        <w:rPr>
          <w:rFonts w:ascii="Arial" w:cs="Arial" w:eastAsia="Arial" w:hAnsi="Arial"/>
          <w:sz w:val="22"/>
          <w:szCs w:val="22"/>
        </w:rPr>
        <w:t xml:space="preserve">Individual Bundles may be cancelled with 30 days written notice via the Platform. The Member remains liable for any scheduled Bundle visits within the notice period. Bundle cancellation does not affect the base Plan subscription.</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4.5 Scale adjustments</w:t>
      </w:r>
    </w:p>
    <w:p>
      <w:pPr>
        <w:spacing w:before="60" w:after="60"/>
        <w:jc w:val="both"/>
      </w:pPr>
      <w:r>
        <w:rPr>
          <w:rFonts w:ascii="Arial" w:cs="Arial" w:eastAsia="Arial" w:hAnsi="Arial"/>
          <w:sz w:val="22"/>
          <w:szCs w:val="22"/>
        </w:rPr>
        <w:t xml:space="preserve">Where a Member's property has more than the standard unit count for a Bundle (e.g. more than 8 solar panels, more than one AC unit, double-storey gutters), an additional monthly amount applies as set out in Schedule B. The Member is responsible for accurately declaring their property's system count on sign-up.</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5. Payment Terms</w:t>
      </w:r>
    </w:p>
    <w:p>
      <w:pPr>
        <w:pStyle w:val="Heading2"/>
        <w:spacing w:before="280" w:after="80"/>
      </w:pPr>
      <w:r>
        <w:rPr>
          <w:rFonts w:ascii="Arial" w:cs="Arial" w:eastAsia="Arial" w:hAnsi="Arial"/>
          <w:b/>
          <w:bCs/>
          <w:color w:val="C8820A"/>
          <w:sz w:val="24"/>
          <w:szCs w:val="24"/>
        </w:rPr>
        <w:t xml:space="preserve">5.1 Monthly billing</w:t>
      </w:r>
    </w:p>
    <w:p>
      <w:pPr>
        <w:spacing w:before="60" w:after="60"/>
        <w:jc w:val="both"/>
      </w:pPr>
      <w:r>
        <w:rPr>
          <w:rFonts w:ascii="Arial" w:cs="Arial" w:eastAsia="Arial" w:hAnsi="Arial"/>
          <w:sz w:val="22"/>
          <w:szCs w:val="22"/>
        </w:rPr>
        <w:t xml:space="preserve">Subscription fees and any active Bundle fees are charged monthly in advance on the Member's billing date via the payment method registered on the Platform. The Company uses PayFast as its payment processor. By subscribing, the Member authorises recurring monthly charges.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5.2 Escrow for service work</w:t>
      </w:r>
    </w:p>
    <w:p>
      <w:pPr>
        <w:spacing w:before="60" w:after="60"/>
        <w:jc w:val="both"/>
      </w:pPr>
      <w:r>
        <w:rPr>
          <w:rFonts w:ascii="Arial" w:cs="Arial" w:eastAsia="Arial" w:hAnsi="Arial"/>
          <w:sz w:val="22"/>
          <w:szCs w:val="22"/>
        </w:rPr>
        <w:t xml:space="preserve">When a Member books a service, the Company requires a card on file. On quote approval by the Member in the Platform, the quoted amount is held in escrow by the payment processor. Funds are released to the Company only when the Member releases payment via the Platform, or automatically after 7 calendar days if the Member has not raised a dispute.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5.3 Parts and materials</w:t>
      </w:r>
    </w:p>
    <w:p>
      <w:pPr>
        <w:spacing w:before="60" w:after="60"/>
        <w:jc w:val="both"/>
      </w:pPr>
      <w:r>
        <w:rPr>
          <w:rFonts w:ascii="Arial" w:cs="Arial" w:eastAsia="Arial" w:hAnsi="Arial"/>
          <w:sz w:val="22"/>
          <w:szCs w:val="22"/>
        </w:rPr>
        <w:t xml:space="preserve">All parts, materials, and replacement components are excluded from credits and bundles. A separate quote is provided in the Platform before any parts are ordered or installed. The Member must approve this quote before work proceeds. Parts are billed separately and also held in escrow until the Member releases payment.</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5.4 Failed payments</w:t>
      </w:r>
    </w:p>
    <w:p>
      <w:pPr>
        <w:spacing w:before="60" w:after="60"/>
        <w:jc w:val="both"/>
      </w:pPr>
      <w:r>
        <w:rPr>
          <w:rFonts w:ascii="Arial" w:cs="Arial" w:eastAsia="Arial" w:hAnsi="Arial"/>
          <w:sz w:val="22"/>
          <w:szCs w:val="22"/>
        </w:rPr>
        <w:t xml:space="preserve">If a monthly subscription payment fails, the Company will retry once after 3 business days. If payment remains outstanding after a further 7 days, the subscription will be suspended. Suspended Members retain their credit balance for 30 days. If payment is not received within 30 days of suspension, the subscription is cancelled and credits are forfeited.</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5.5 Disputes</w:t>
      </w:r>
    </w:p>
    <w:p>
      <w:pPr>
        <w:spacing w:before="60" w:after="60"/>
        <w:jc w:val="both"/>
      </w:pPr>
      <w:r>
        <w:rPr>
          <w:rFonts w:ascii="Arial" w:cs="Arial" w:eastAsia="Arial" w:hAnsi="Arial"/>
          <w:sz w:val="22"/>
          <w:szCs w:val="22"/>
        </w:rPr>
        <w:t xml:space="preserve">Payment disputes must be raised via the Platform within 7 calendar days of service completion. On raising a dispute, the escrowed funds are frozen pending resolution. The Company will contact the Member within 2 business days to resolve the dispute. If unresolved within 14 days, the matter will be referred to an independent mediator agreed by both parties.</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6. Service Delivery</w:t>
      </w:r>
    </w:p>
    <w:p>
      <w:pPr>
        <w:pStyle w:val="Heading2"/>
        <w:spacing w:before="280" w:after="80"/>
      </w:pPr>
      <w:r>
        <w:rPr>
          <w:rFonts w:ascii="Arial" w:cs="Arial" w:eastAsia="Arial" w:hAnsi="Arial"/>
          <w:b/>
          <w:bCs/>
          <w:color w:val="C8820A"/>
          <w:sz w:val="24"/>
          <w:szCs w:val="24"/>
        </w:rPr>
        <w:t xml:space="preserve">6.1 Employed technicians only</w:t>
      </w:r>
    </w:p>
    <w:p>
      <w:pPr>
        <w:spacing w:before="60" w:after="60"/>
        <w:jc w:val="both"/>
      </w:pPr>
      <w:r>
        <w:rPr>
          <w:rFonts w:ascii="Arial" w:cs="Arial" w:eastAsia="Arial" w:hAnsi="Arial"/>
          <w:sz w:val="22"/>
          <w:szCs w:val="22"/>
        </w:rPr>
        <w:t xml:space="preserve">All services are performed exclusively by employed RCE Electrical &amp; Plumbing Services technicians. HomeGuard Pro does not engage subcontractors, freelancers, or marketplace contractors for any Member service. Every deployed technician has completed Home Affairs identity verification, SAPS criminal background check, trade qualification verification (PIRB for plumbers, DOL registration for electricians), and is covered under RCE company public liability insurance.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6.2 Compliance and certification</w:t>
      </w:r>
    </w:p>
    <w:p>
      <w:pPr>
        <w:spacing w:before="60" w:after="60"/>
        <w:jc w:val="both"/>
      </w:pPr>
      <w:r>
        <w:rPr>
          <w:rFonts w:ascii="Arial" w:cs="Arial" w:eastAsia="Arial" w:hAnsi="Arial"/>
          <w:sz w:val="22"/>
          <w:szCs w:val="22"/>
        </w:rPr>
        <w:t xml:space="preserve">Where a SANS standard or regulatory body requires a Certificate of Compliance (COC), the RCE technician will issue the relevant COC on completion of compliant work. COCs are generated and stored digitally on the Platform and are accessible to the Member at any time. COC issuance is included in the credit for the relevant service.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6.3 Satisfaction guarantee</w:t>
      </w:r>
    </w:p>
    <w:p>
      <w:pPr>
        <w:spacing w:before="60" w:after="60"/>
        <w:jc w:val="both"/>
      </w:pPr>
      <w:r>
        <w:rPr>
          <w:rFonts w:ascii="Arial" w:cs="Arial" w:eastAsia="Arial" w:hAnsi="Arial"/>
          <w:sz w:val="22"/>
          <w:szCs w:val="22"/>
        </w:rPr>
        <w:t xml:space="preserve">If the Member is not satisfied with the standard of any completed service, the Member may raise a dispute via the Platform before releasing escrow payment. The Company will return to the property within 3 business days to inspect and rectify any deficiencies at no additional charge. If the Company is unable to resolve the Member's concern after one return visit, the Member may request a full credit refund of the credits consumed.</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6.4 Service scope</w:t>
      </w:r>
    </w:p>
    <w:p>
      <w:pPr>
        <w:spacing w:before="60" w:after="60"/>
        <w:jc w:val="both"/>
      </w:pPr>
      <w:r>
        <w:rPr>
          <w:rFonts w:ascii="Arial" w:cs="Arial" w:eastAsia="Arial" w:hAnsi="Arial"/>
          <w:sz w:val="22"/>
          <w:szCs w:val="22"/>
        </w:rPr>
        <w:t xml:space="preserve">Each service is scoped to the standard inspection and service tasks as defined in Schedule B. Work beyond standard scope (replacement of components, repair of faults discovered during inspection, additional systems not declared on the Member's profile) requires a separate quote approved by the Member before commencement.</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6.5 Access requirements</w:t>
      </w:r>
    </w:p>
    <w:p>
      <w:pPr>
        <w:spacing w:before="60" w:after="60"/>
        <w:jc w:val="both"/>
      </w:pPr>
      <w:r>
        <w:rPr>
          <w:rFonts w:ascii="Arial" w:cs="Arial" w:eastAsia="Arial" w:hAnsi="Arial"/>
          <w:sz w:val="22"/>
          <w:szCs w:val="22"/>
        </w:rPr>
        <w:t xml:space="preserve">The Member is responsible for ensuring safe and unobstructed access to all systems requiring service at the scheduled appointment time. Failed appointments due to access unavailability will be rescheduled at no penalty. Repeated failed appointments (more than 2 for the same service) may result in forfeiture of the scheduled credit for that service.</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6.6 Standard Service Conditions and Abnormal Access</w:t>
      </w:r>
    </w:p>
    <w:p>
      <w:pPr>
        <w:spacing w:before="60" w:after="60"/>
        <w:jc w:val="both"/>
      </w:pPr>
      <w:r>
        <w:rPr>
          <w:rFonts w:ascii="Arial" w:cs="Arial" w:eastAsia="Arial" w:hAnsi="Arial"/>
          <w:sz w:val="22"/>
          <w:szCs w:val="22"/>
        </w:rPr>
        <w:t xml:space="preserve">All services listed in Schedule B are priced and scoped on the basis of standard residential access conditions as defined below. Where a service cannot be performed under standard conditions due to the nature of the property, its construction, or the location of the relevant system, the Company will notify the Member before any work commences, provide a written quotation for the additional costs required, and obtain the Member's written approval via the Platform before proceeding.</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6.6.1 Standard access conditions</w:t>
      </w:r>
    </w:p>
    <w:p>
      <w:pPr>
        <w:spacing w:before="60" w:after="60"/>
        <w:jc w:val="both"/>
      </w:pPr>
      <w:r>
        <w:rPr>
          <w:rFonts w:ascii="Arial" w:cs="Arial" w:eastAsia="Arial" w:hAnsi="Arial"/>
          <w:sz w:val="22"/>
          <w:szCs w:val="22"/>
        </w:rPr>
        <w:t xml:space="preserve">Standard access conditions means that the relevant system or component is accessible by a technician standing at ground level or using a standard 3-metre (3m) step ladder, on a stable, level surface, without the need for any specialist access equipment, elevated work platform, scaffolding, or structural modification. Standard conditions further assume:</w:t>
      </w:r>
    </w:p>
    <w:p>
      <w:pPr>
        <w:pStyle w:val="ListParagraph"/>
        <w:numPr>
          <w:ilvl w:val="0"/>
          <w:numId w:val="1"/>
        </w:numPr>
        <w:spacing w:before="40" w:after="40"/>
        <w:jc w:val="both"/>
      </w:pPr>
      <w:r>
        <w:rPr>
          <w:rFonts w:ascii="Arial" w:cs="Arial" w:eastAsia="Arial" w:hAnsi="Arial"/>
          <w:sz w:val="22"/>
          <w:szCs w:val="22"/>
        </w:rPr>
        <w:t xml:space="preserve">Roof height not exceeding single-storey (approximately 3.5m at eaves) for roof, gutter, and solar panel services</w:t>
      </w:r>
    </w:p>
    <w:p>
      <w:pPr>
        <w:pStyle w:val="ListParagraph"/>
        <w:numPr>
          <w:ilvl w:val="0"/>
          <w:numId w:val="1"/>
        </w:numPr>
        <w:spacing w:before="40" w:after="40"/>
        <w:jc w:val="both"/>
      </w:pPr>
      <w:r>
        <w:rPr>
          <w:rFonts w:ascii="Arial" w:cs="Arial" w:eastAsia="Arial" w:hAnsi="Arial"/>
          <w:sz w:val="22"/>
          <w:szCs w:val="22"/>
        </w:rPr>
        <w:t xml:space="preserve">Solar panels mounted on a pitched or flat roof accessible by standard ladder from ground level</w:t>
      </w:r>
    </w:p>
    <w:p>
      <w:pPr>
        <w:pStyle w:val="ListParagraph"/>
        <w:numPr>
          <w:ilvl w:val="0"/>
          <w:numId w:val="1"/>
        </w:numPr>
        <w:spacing w:before="40" w:after="40"/>
        <w:jc w:val="both"/>
      </w:pPr>
      <w:r>
        <w:rPr>
          <w:rFonts w:ascii="Arial" w:cs="Arial" w:eastAsia="Arial" w:hAnsi="Arial"/>
          <w:sz w:val="22"/>
          <w:szCs w:val="22"/>
        </w:rPr>
        <w:t xml:space="preserve">Gate motors, garage door motors, and access control equipment mounted at standard residential height (not exceeding 3m from ground level)</w:t>
      </w:r>
    </w:p>
    <w:p>
      <w:pPr>
        <w:pStyle w:val="ListParagraph"/>
        <w:numPr>
          <w:ilvl w:val="0"/>
          <w:numId w:val="1"/>
        </w:numPr>
        <w:spacing w:before="40" w:after="40"/>
        <w:jc w:val="both"/>
      </w:pPr>
      <w:r>
        <w:rPr>
          <w:rFonts w:ascii="Arial" w:cs="Arial" w:eastAsia="Arial" w:hAnsi="Arial"/>
          <w:sz w:val="22"/>
          <w:szCs w:val="22"/>
        </w:rPr>
        <w:t xml:space="preserve">CCTV cameras, electric fence energisers, and alarm panels mounted at standard residential height (not exceeding 3m from ground level)</w:t>
      </w:r>
    </w:p>
    <w:p>
      <w:pPr>
        <w:pStyle w:val="ListParagraph"/>
        <w:numPr>
          <w:ilvl w:val="0"/>
          <w:numId w:val="1"/>
        </w:numPr>
        <w:spacing w:before="40" w:after="40"/>
        <w:jc w:val="both"/>
      </w:pPr>
      <w:r>
        <w:rPr>
          <w:rFonts w:ascii="Arial" w:cs="Arial" w:eastAsia="Arial" w:hAnsi="Arial"/>
          <w:sz w:val="22"/>
          <w:szCs w:val="22"/>
        </w:rPr>
        <w:t xml:space="preserve">Geysers, heat pumps, and gas geysers located in accessible roof spaces, utility rooms, or externally at ground level with standard clearance for inspection</w:t>
      </w:r>
    </w:p>
    <w:p>
      <w:pPr>
        <w:pStyle w:val="ListParagraph"/>
        <w:numPr>
          <w:ilvl w:val="0"/>
          <w:numId w:val="1"/>
        </w:numPr>
        <w:spacing w:before="40" w:after="40"/>
        <w:jc w:val="both"/>
      </w:pPr>
      <w:r>
        <w:rPr>
          <w:rFonts w:ascii="Arial" w:cs="Arial" w:eastAsia="Arial" w:hAnsi="Arial"/>
          <w:sz w:val="22"/>
          <w:szCs w:val="22"/>
        </w:rPr>
        <w:t xml:space="preserve">Pool pumps and irrigation equipment accessible at ground level without confined space entry</w:t>
      </w:r>
    </w:p>
    <w:p>
      <w:pPr>
        <w:pStyle w:val="ListParagraph"/>
        <w:numPr>
          <w:ilvl w:val="0"/>
          <w:numId w:val="1"/>
        </w:numPr>
        <w:spacing w:before="40" w:after="40"/>
        <w:jc w:val="both"/>
      </w:pPr>
      <w:r>
        <w:rPr>
          <w:rFonts w:ascii="Arial" w:cs="Arial" w:eastAsia="Arial" w:hAnsi="Arial"/>
          <w:sz w:val="22"/>
          <w:szCs w:val="22"/>
        </w:rPr>
        <w:t xml:space="preserve">DB boards and electrical panels mounted at standard height in accessible locations</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6.6.2 Abnormal access conditions — additional costs</w:t>
      </w:r>
    </w:p>
    <w:p>
      <w:pPr>
        <w:spacing w:before="60" w:after="60"/>
        <w:jc w:val="both"/>
      </w:pPr>
      <w:r>
        <w:rPr>
          <w:rFonts w:ascii="Arial" w:cs="Arial" w:eastAsia="Arial" w:hAnsi="Arial"/>
          <w:sz w:val="22"/>
          <w:szCs w:val="22"/>
        </w:rPr>
        <w:t xml:space="preserve">The following conditions are outside the standard service scope and will be quoted separately as Abnormal Access Costs before work commences. These costs are not covered by Service Credits or Bundle payments and are payable in addition to any credits consumed:</w:t>
      </w:r>
    </w:p>
    <w:p>
      <w:pPr>
        <w:pStyle w:val="ListParagraph"/>
        <w:numPr>
          <w:ilvl w:val="0"/>
          <w:numId w:val="1"/>
        </w:numPr>
        <w:spacing w:before="40" w:after="40"/>
        <w:jc w:val="both"/>
      </w:pPr>
      <w:r>
        <w:rPr>
          <w:rFonts w:ascii="Arial" w:cs="Arial" w:eastAsia="Arial" w:hAnsi="Arial"/>
          <w:sz w:val="22"/>
          <w:szCs w:val="22"/>
        </w:rPr>
        <w:t xml:space="preserve">Requirement for scaffolding, mobile elevated work platforms (MEWP), cherry pickers, boom lifts, or any elevated access equipment beyond a standard 3m step ladder</w:t>
      </w:r>
    </w:p>
    <w:p>
      <w:pPr>
        <w:pStyle w:val="ListParagraph"/>
        <w:numPr>
          <w:ilvl w:val="0"/>
          <w:numId w:val="1"/>
        </w:numPr>
        <w:spacing w:before="40" w:after="40"/>
        <w:jc w:val="both"/>
      </w:pPr>
      <w:r>
        <w:rPr>
          <w:rFonts w:ascii="Arial" w:cs="Arial" w:eastAsia="Arial" w:hAnsi="Arial"/>
          <w:sz w:val="22"/>
          <w:szCs w:val="22"/>
        </w:rPr>
        <w:t xml:space="preserve">Requirement for a crane or mechanical lifting equipment for any reason</w:t>
      </w:r>
    </w:p>
    <w:p>
      <w:pPr>
        <w:pStyle w:val="ListParagraph"/>
        <w:numPr>
          <w:ilvl w:val="0"/>
          <w:numId w:val="1"/>
        </w:numPr>
        <w:spacing w:before="40" w:after="40"/>
        <w:jc w:val="both"/>
      </w:pPr>
      <w:r>
        <w:rPr>
          <w:rFonts w:ascii="Arial" w:cs="Arial" w:eastAsia="Arial" w:hAnsi="Arial"/>
          <w:sz w:val="22"/>
          <w:szCs w:val="22"/>
        </w:rPr>
        <w:t xml:space="preserve">Multi-storey buildings where the relevant system is located above the first floor and is not accessible by standard ladder from ground level</w:t>
      </w:r>
    </w:p>
    <w:p>
      <w:pPr>
        <w:pStyle w:val="ListParagraph"/>
        <w:numPr>
          <w:ilvl w:val="0"/>
          <w:numId w:val="1"/>
        </w:numPr>
        <w:spacing w:before="40" w:after="40"/>
        <w:jc w:val="both"/>
      </w:pPr>
      <w:r>
        <w:rPr>
          <w:rFonts w:ascii="Arial" w:cs="Arial" w:eastAsia="Arial" w:hAnsi="Arial"/>
          <w:sz w:val="22"/>
          <w:szCs w:val="22"/>
        </w:rPr>
        <w:t xml:space="preserve">Confined space entry (as defined under the Occupational Health and Safety Act 85 of 1993 and SANS 10229) required to access any system</w:t>
      </w:r>
    </w:p>
    <w:p>
      <w:pPr>
        <w:pStyle w:val="ListParagraph"/>
        <w:numPr>
          <w:ilvl w:val="0"/>
          <w:numId w:val="1"/>
        </w:numPr>
        <w:spacing w:before="40" w:after="40"/>
        <w:jc w:val="both"/>
      </w:pPr>
      <w:r>
        <w:rPr>
          <w:rFonts w:ascii="Arial" w:cs="Arial" w:eastAsia="Arial" w:hAnsi="Arial"/>
          <w:sz w:val="22"/>
          <w:szCs w:val="22"/>
        </w:rPr>
        <w:t xml:space="preserve">Requirement for a second technician or specialist operator solely due to access conditions (not due to the technical complexity of the service itself)</w:t>
      </w:r>
    </w:p>
    <w:p>
      <w:pPr>
        <w:pStyle w:val="ListParagraph"/>
        <w:numPr>
          <w:ilvl w:val="0"/>
          <w:numId w:val="1"/>
        </w:numPr>
        <w:spacing w:before="40" w:after="40"/>
        <w:jc w:val="both"/>
      </w:pPr>
      <w:r>
        <w:rPr>
          <w:rFonts w:ascii="Arial" w:cs="Arial" w:eastAsia="Arial" w:hAnsi="Arial"/>
          <w:sz w:val="22"/>
          <w:szCs w:val="22"/>
        </w:rPr>
        <w:t xml:space="preserve">Removal of structural elements, fixed cladding, or permanent covers required to gain access to a system that would otherwise be inaccessible</w:t>
      </w:r>
    </w:p>
    <w:p>
      <w:pPr>
        <w:pStyle w:val="ListParagraph"/>
        <w:numPr>
          <w:ilvl w:val="0"/>
          <w:numId w:val="1"/>
        </w:numPr>
        <w:spacing w:before="40" w:after="40"/>
        <w:jc w:val="both"/>
      </w:pPr>
      <w:r>
        <w:rPr>
          <w:rFonts w:ascii="Arial" w:cs="Arial" w:eastAsia="Arial" w:hAnsi="Arial"/>
          <w:sz w:val="22"/>
          <w:szCs w:val="22"/>
        </w:rPr>
        <w:t xml:space="preserve">Working at height above 3m as defined under the Construction Regulations 2014 promulgated under the OHS Act, requiring a formal Working at Heights Plan and additional safety measures</w:t>
      </w:r>
    </w:p>
    <w:p>
      <w:pPr>
        <w:pStyle w:val="ListParagraph"/>
        <w:numPr>
          <w:ilvl w:val="0"/>
          <w:numId w:val="1"/>
        </w:numPr>
        <w:spacing w:before="40" w:after="40"/>
        <w:jc w:val="both"/>
      </w:pPr>
      <w:r>
        <w:rPr>
          <w:rFonts w:ascii="Arial" w:cs="Arial" w:eastAsia="Arial" w:hAnsi="Arial"/>
          <w:sz w:val="22"/>
          <w:szCs w:val="22"/>
        </w:rPr>
        <w:t xml:space="preserve">Any access condition that requires a permit, local authority approval, or road closure</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6.6.3 Member disclosure obligation</w:t>
      </w:r>
    </w:p>
    <w:p>
      <w:pPr>
        <w:spacing w:before="60" w:after="60"/>
        <w:jc w:val="both"/>
      </w:pPr>
      <w:r>
        <w:rPr>
          <w:rFonts w:ascii="Arial" w:cs="Arial" w:eastAsia="Arial" w:hAnsi="Arial"/>
          <w:sz w:val="22"/>
          <w:szCs w:val="22"/>
        </w:rPr>
        <w:t xml:space="preserve">The Member is required to accurately describe their property's access conditions when setting up their HomeGuard Pro profile and when booking individual services. If the Member is aware that a system requires abnormal access, they must disclose this at the time of booking. Failure to disclose known abnormal access conditions may result in the visit credit being consumed for the attended visit, with a new booking required once abnormal access arrangements are confirmed and quoted.</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6.6.4 Assessment visit</w:t>
      </w:r>
    </w:p>
    <w:p>
      <w:pPr>
        <w:spacing w:before="60" w:after="60"/>
        <w:jc w:val="both"/>
      </w:pPr>
      <w:r>
        <w:rPr>
          <w:rFonts w:ascii="Arial" w:cs="Arial" w:eastAsia="Arial" w:hAnsi="Arial"/>
          <w:sz w:val="22"/>
          <w:szCs w:val="22"/>
        </w:rPr>
        <w:t xml:space="preserve">Where the existence of abnormal access conditions cannot reasonably be determined from the Member's property profile, the Company may conduct a no-obligation assessment visit to inspect access conditions before providing a quotation. Assessment visits do not consume a Service Credit. The Member is under no obligation to proceed with the service following an assessment.</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6.6.5 Fair and reasonable principle</w:t>
      </w:r>
    </w:p>
    <w:p>
      <w:pPr>
        <w:spacing w:before="60" w:after="60"/>
        <w:jc w:val="both"/>
      </w:pPr>
      <w:r>
        <w:rPr>
          <w:rFonts w:ascii="Arial" w:cs="Arial" w:eastAsia="Arial" w:hAnsi="Arial"/>
          <w:sz w:val="22"/>
          <w:szCs w:val="22"/>
        </w:rPr>
        <w:t xml:space="preserve">In applying this clause, the Company will act fairly and reasonably in accordance with the Consumer Protection Act 68 of 2008. Abnormal Access Costs will reflect actual additional costs incurred and will not include any markup beyond the Company's standard labour and equipment rates. The Member retains the right to decline any quoted Abnormal Access Costs without penalty, in which case the service will not be performed and no credit will be consumed for that visit.</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6.6.6 Unsafe working conditions — right to withdraw</w:t>
      </w:r>
    </w:p>
    <w:p>
      <w:pPr>
        <w:spacing w:before="60" w:after="60"/>
        <w:jc w:val="both"/>
      </w:pPr>
      <w:r>
        <w:rPr>
          <w:rFonts w:ascii="Arial" w:cs="Arial" w:eastAsia="Arial" w:hAnsi="Arial"/>
          <w:sz w:val="22"/>
          <w:szCs w:val="22"/>
        </w:rPr>
        <w:t xml:space="preserve">The Company is legally obligated under the Occupational Health and Safety Act 85 of 1993 (OHS Act) to ensure the health and safety of its employees at all times. In terms of Section 13 of the OHS Act, an employee may refuse to perform work that they reasonably believe presents a risk of serious injury or death. The Company fully supports and enforces this right.</w:t>
      </w:r>
    </w:p>
    <w:p>
      <w:pPr>
        <w:spacing w:before="40" w:after="40"/>
      </w:pPr>
      <w:r>
        <w:t xml:space="preserve"/>
      </w:r>
    </w:p>
    <w:p>
      <w:pPr>
        <w:spacing w:before="60" w:after="60"/>
        <w:jc w:val="both"/>
      </w:pPr>
      <w:r>
        <w:rPr>
          <w:rFonts w:ascii="Arial" w:cs="Arial" w:eastAsia="Arial" w:hAnsi="Arial"/>
          <w:sz w:val="22"/>
          <w:szCs w:val="22"/>
        </w:rPr>
        <w:t xml:space="preserve">Where an RCE technician arrives at a Member's property and determines, in their reasonable professional judgment, that the working environment presents an unacceptable safety risk, the technician is entitled and required to withdraw from the site without performing the service. Circumstances that may constitute an unsafe working condition include, but are not limited to:</w:t>
      </w:r>
    </w:p>
    <w:p>
      <w:pPr>
        <w:pStyle w:val="ListParagraph"/>
        <w:numPr>
          <w:ilvl w:val="0"/>
          <w:numId w:val="1"/>
        </w:numPr>
        <w:spacing w:before="40" w:after="40"/>
        <w:jc w:val="both"/>
      </w:pPr>
      <w:r>
        <w:rPr>
          <w:rFonts w:ascii="Arial" w:cs="Arial" w:eastAsia="Arial" w:hAnsi="Arial"/>
          <w:sz w:val="22"/>
          <w:szCs w:val="22"/>
        </w:rPr>
        <w:t xml:space="preserve">Presence of live electrical conductors, exposed wiring, or electrical faults that pose an immediate electrocution risk to the technician</w:t>
      </w:r>
    </w:p>
    <w:p>
      <w:pPr>
        <w:pStyle w:val="ListParagraph"/>
        <w:numPr>
          <w:ilvl w:val="0"/>
          <w:numId w:val="1"/>
        </w:numPr>
        <w:spacing w:before="40" w:after="40"/>
        <w:jc w:val="both"/>
      </w:pPr>
      <w:r>
        <w:rPr>
          <w:rFonts w:ascii="Arial" w:cs="Arial" w:eastAsia="Arial" w:hAnsi="Arial"/>
          <w:sz w:val="22"/>
          <w:szCs w:val="22"/>
        </w:rPr>
        <w:t xml:space="preserve">Structural instability of roofs, ceilings, access platforms, or surfaces that the technician is required to work on or from</w:t>
      </w:r>
    </w:p>
    <w:p>
      <w:pPr>
        <w:pStyle w:val="ListParagraph"/>
        <w:numPr>
          <w:ilvl w:val="0"/>
          <w:numId w:val="1"/>
        </w:numPr>
        <w:spacing w:before="40" w:after="40"/>
        <w:jc w:val="both"/>
      </w:pPr>
      <w:r>
        <w:rPr>
          <w:rFonts w:ascii="Arial" w:cs="Arial" w:eastAsia="Arial" w:hAnsi="Arial"/>
          <w:sz w:val="22"/>
          <w:szCs w:val="22"/>
        </w:rPr>
        <w:t xml:space="preserve">Presence of aggressive animals on the property that cannot be adequately secured before the service commences</w:t>
      </w:r>
    </w:p>
    <w:p>
      <w:pPr>
        <w:pStyle w:val="ListParagraph"/>
        <w:numPr>
          <w:ilvl w:val="0"/>
          <w:numId w:val="1"/>
        </w:numPr>
        <w:spacing w:before="40" w:after="40"/>
        <w:jc w:val="both"/>
      </w:pPr>
      <w:r>
        <w:rPr>
          <w:rFonts w:ascii="Arial" w:cs="Arial" w:eastAsia="Arial" w:hAnsi="Arial"/>
          <w:sz w:val="22"/>
          <w:szCs w:val="22"/>
        </w:rPr>
        <w:t xml:space="preserve">Active gas leaks, fuel leaks, or the presence of flammable materials in the work area</w:t>
      </w:r>
    </w:p>
    <w:p>
      <w:pPr>
        <w:pStyle w:val="ListParagraph"/>
        <w:numPr>
          <w:ilvl w:val="0"/>
          <w:numId w:val="1"/>
        </w:numPr>
        <w:spacing w:before="40" w:after="40"/>
        <w:jc w:val="both"/>
      </w:pPr>
      <w:r>
        <w:rPr>
          <w:rFonts w:ascii="Arial" w:cs="Arial" w:eastAsia="Arial" w:hAnsi="Arial"/>
          <w:sz w:val="22"/>
          <w:szCs w:val="22"/>
        </w:rPr>
        <w:t xml:space="preserve">Evidence of asbestos-containing materials in the work area that have not been assessed and cleared by a certified asbestos inspector</w:t>
      </w:r>
    </w:p>
    <w:p>
      <w:pPr>
        <w:pStyle w:val="ListParagraph"/>
        <w:numPr>
          <w:ilvl w:val="0"/>
          <w:numId w:val="1"/>
        </w:numPr>
        <w:spacing w:before="40" w:after="40"/>
        <w:jc w:val="both"/>
      </w:pPr>
      <w:r>
        <w:rPr>
          <w:rFonts w:ascii="Arial" w:cs="Arial" w:eastAsia="Arial" w:hAnsi="Arial"/>
          <w:sz w:val="22"/>
          <w:szCs w:val="22"/>
        </w:rPr>
        <w:t xml:space="preserve">Flooding, standing water, or wet conditions in proximity to live electrical systems</w:t>
      </w:r>
    </w:p>
    <w:p>
      <w:pPr>
        <w:pStyle w:val="ListParagraph"/>
        <w:numPr>
          <w:ilvl w:val="0"/>
          <w:numId w:val="1"/>
        </w:numPr>
        <w:spacing w:before="40" w:after="40"/>
        <w:jc w:val="both"/>
      </w:pPr>
      <w:r>
        <w:rPr>
          <w:rFonts w:ascii="Arial" w:cs="Arial" w:eastAsia="Arial" w:hAnsi="Arial"/>
          <w:sz w:val="22"/>
          <w:szCs w:val="22"/>
        </w:rPr>
        <w:t xml:space="preserve">Any condition that, in the technician's professional judgment, presents an immediate and serious risk of injury</w:t>
      </w:r>
    </w:p>
    <w:p>
      <w:pPr>
        <w:pStyle w:val="ListParagraph"/>
        <w:numPr>
          <w:ilvl w:val="0"/>
          <w:numId w:val="1"/>
        </w:numPr>
        <w:spacing w:before="40" w:after="40"/>
        <w:jc w:val="both"/>
      </w:pPr>
      <w:r>
        <w:rPr>
          <w:rFonts w:ascii="Arial" w:cs="Arial" w:eastAsia="Arial" w:hAnsi="Arial"/>
          <w:sz w:val="22"/>
          <w:szCs w:val="22"/>
        </w:rPr>
        <w:t xml:space="preserve">Verbal or physical aggression, threatening behaviour, or intimidation directed at the technician by any person on the property</w:t>
      </w:r>
    </w:p>
    <w:p>
      <w:pPr>
        <w:spacing w:before="40" w:after="40"/>
      </w:pPr>
      <w:r>
        <w:t xml:space="preserve"/>
      </w:r>
    </w:p>
    <w:p>
      <w:pPr>
        <w:spacing w:before="60" w:after="60"/>
        <w:jc w:val="both"/>
      </w:pPr>
      <w:r>
        <w:rPr>
          <w:rFonts w:ascii="Arial" w:cs="Arial" w:eastAsia="Arial" w:hAnsi="Arial"/>
          <w:sz w:val="22"/>
          <w:szCs w:val="22"/>
        </w:rPr>
        <w:t xml:space="preserve">Where a technician withdraws due to unsafe working conditions:</w:t>
      </w:r>
    </w:p>
    <w:p>
      <w:pPr>
        <w:pStyle w:val="ListParagraph"/>
        <w:numPr>
          <w:ilvl w:val="0"/>
          <w:numId w:val="1"/>
        </w:numPr>
        <w:spacing w:before="40" w:after="40"/>
        <w:jc w:val="both"/>
      </w:pPr>
      <w:r>
        <w:rPr>
          <w:rFonts w:ascii="Arial" w:cs="Arial" w:eastAsia="Arial" w:hAnsi="Arial"/>
          <w:sz w:val="22"/>
          <w:szCs w:val="22"/>
        </w:rPr>
        <w:t xml:space="preserve">No Service Credit will be consumed for the aborted visit</w:t>
      </w:r>
    </w:p>
    <w:p>
      <w:pPr>
        <w:pStyle w:val="ListParagraph"/>
        <w:numPr>
          <w:ilvl w:val="0"/>
          <w:numId w:val="1"/>
        </w:numPr>
        <w:spacing w:before="40" w:after="40"/>
        <w:jc w:val="both"/>
      </w:pPr>
      <w:r>
        <w:rPr>
          <w:rFonts w:ascii="Arial" w:cs="Arial" w:eastAsia="Arial" w:hAnsi="Arial"/>
          <w:sz w:val="22"/>
          <w:szCs w:val="22"/>
        </w:rPr>
        <w:t xml:space="preserve">The Company will notify the Member via the Platform within 2 business hours, specifying the safety concern identified</w:t>
      </w:r>
    </w:p>
    <w:p>
      <w:pPr>
        <w:pStyle w:val="ListParagraph"/>
        <w:numPr>
          <w:ilvl w:val="0"/>
          <w:numId w:val="1"/>
        </w:numPr>
        <w:spacing w:before="40" w:after="40"/>
        <w:jc w:val="both"/>
      </w:pPr>
      <w:r>
        <w:rPr>
          <w:rFonts w:ascii="Arial" w:cs="Arial" w:eastAsia="Arial" w:hAnsi="Arial"/>
          <w:sz w:val="22"/>
          <w:szCs w:val="22"/>
        </w:rPr>
        <w:t xml:space="preserve">The Member must remedy the identified safety concern before the service is rebooked</w:t>
      </w:r>
    </w:p>
    <w:p>
      <w:pPr>
        <w:pStyle w:val="ListParagraph"/>
        <w:numPr>
          <w:ilvl w:val="0"/>
          <w:numId w:val="1"/>
        </w:numPr>
        <w:spacing w:before="40" w:after="40"/>
        <w:jc w:val="both"/>
      </w:pPr>
      <w:r>
        <w:rPr>
          <w:rFonts w:ascii="Arial" w:cs="Arial" w:eastAsia="Arial" w:hAnsi="Arial"/>
          <w:sz w:val="22"/>
          <w:szCs w:val="22"/>
        </w:rPr>
        <w:t xml:space="preserve">Where the safety concern requires specialist remediation (e.g. asbestos removal, structural repair, electrical fault repair), the Member must provide written confirmation from a qualified contractor that the concern has been resolved before rebooking</w:t>
      </w:r>
    </w:p>
    <w:p>
      <w:pPr>
        <w:pStyle w:val="ListParagraph"/>
        <w:numPr>
          <w:ilvl w:val="0"/>
          <w:numId w:val="1"/>
        </w:numPr>
        <w:spacing w:before="40" w:after="40"/>
        <w:jc w:val="both"/>
      </w:pPr>
      <w:r>
        <w:rPr>
          <w:rFonts w:ascii="Arial" w:cs="Arial" w:eastAsia="Arial" w:hAnsi="Arial"/>
          <w:sz w:val="22"/>
          <w:szCs w:val="22"/>
        </w:rPr>
        <w:t xml:space="preserve">The Company reserves the right to decline to rebook a service where the same safety concern recurs on a second visit</w:t>
      </w:r>
    </w:p>
    <w:p>
      <w:pPr>
        <w:spacing w:before="40" w:after="40"/>
      </w:pPr>
      <w:r>
        <w:t xml:space="preserve"/>
      </w:r>
    </w:p>
    <w:p>
      <w:pPr>
        <w:spacing w:before="60" w:after="60"/>
        <w:jc w:val="both"/>
      </w:pPr>
      <w:r>
        <w:rPr>
          <w:rFonts w:ascii="Arial" w:cs="Arial" w:eastAsia="Arial" w:hAnsi="Arial"/>
          <w:sz w:val="22"/>
          <w:szCs w:val="22"/>
        </w:rPr>
        <w:t xml:space="preserve">The Company will not penalise any technician for exercising their right to withdraw from an unsafe working environment. The Member acknowledges that the safety of RCE employees is a non-negotiable requirement and that this clause is consistent with both the Company's statutory obligations under the OHS Act and the Member's own obligations as an occupier of premises under the Occupiers' Liability Act.</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7. Cancellation</w:t>
      </w:r>
    </w:p>
    <w:p>
      <w:pPr>
        <w:pStyle w:val="Heading2"/>
        <w:spacing w:before="280" w:after="80"/>
      </w:pPr>
      <w:r>
        <w:rPr>
          <w:rFonts w:ascii="Arial" w:cs="Arial" w:eastAsia="Arial" w:hAnsi="Arial"/>
          <w:b/>
          <w:bCs/>
          <w:color w:val="C8820A"/>
          <w:sz w:val="24"/>
          <w:szCs w:val="24"/>
        </w:rPr>
        <w:t xml:space="preserve">7.1 Member cancellation</w:t>
      </w:r>
    </w:p>
    <w:p>
      <w:pPr>
        <w:spacing w:before="60" w:after="60"/>
        <w:jc w:val="both"/>
      </w:pPr>
      <w:r>
        <w:rPr>
          <w:rFonts w:ascii="Arial" w:cs="Arial" w:eastAsia="Arial" w:hAnsi="Arial"/>
          <w:sz w:val="22"/>
          <w:szCs w:val="22"/>
        </w:rPr>
        <w:t xml:space="preserve">The Member may cancel their subscription at any time via the Platform. Cancellation takes effect at the end of the current monthly billing period. The Member retains access to the Platform and all Plan benefits until the end of the paid period.</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7.1.1 Minimum commitment period</w:t>
      </w:r>
    </w:p>
    <w:p>
      <w:pPr>
        <w:spacing w:before="60" w:after="60"/>
        <w:jc w:val="both"/>
      </w:pPr>
      <w:r>
        <w:rPr>
          <w:rFonts w:ascii="Arial" w:cs="Arial" w:eastAsia="Arial" w:hAnsi="Arial"/>
          <w:sz w:val="22"/>
          <w:szCs w:val="22"/>
        </w:rPr>
        <w:t xml:space="preserve">Bronze plan subscriptions are month-to-month with no minimum term. Silver and Gold plan subscriptions carry a minimum commitment period of 6 (six) calendar months from the date of first activation. This minimum term reflects the fact that Silver and Gold plans include Service Credits that represent a genuine discount on the standard walk-in rate of R950 per credit. The minimum term protects the commercial integrity of that discount.</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7.1.2 Early cancellation — credit clawback</w:t>
      </w:r>
    </w:p>
    <w:p>
      <w:pPr>
        <w:spacing w:before="60" w:after="60"/>
        <w:jc w:val="both"/>
      </w:pPr>
      <w:r>
        <w:rPr>
          <w:rFonts w:ascii="Arial" w:cs="Arial" w:eastAsia="Arial" w:hAnsi="Arial"/>
          <w:sz w:val="22"/>
          <w:szCs w:val="22"/>
        </w:rPr>
        <w:t xml:space="preserve">If a Member on a Silver or Gold plan cancels their subscription before the end of the 6-month minimum commitment period, the following clawback applies:</w:t>
      </w:r>
    </w:p>
    <w:p>
      <w:pPr>
        <w:pStyle w:val="ListParagraph"/>
        <w:numPr>
          <w:ilvl w:val="0"/>
          <w:numId w:val="1"/>
        </w:numPr>
        <w:spacing w:before="40" w:after="40"/>
        <w:jc w:val="both"/>
      </w:pPr>
      <w:r>
        <w:rPr>
          <w:rFonts w:ascii="Arial" w:cs="Arial" w:eastAsia="Arial" w:hAnsi="Arial"/>
          <w:sz w:val="22"/>
          <w:szCs w:val="22"/>
        </w:rPr>
        <w:t xml:space="preserve">Any Service Credits consumed during the subscription period will be rebilled at the Standard Rate of R950 (nine hundred and fifty rand) per credit, in place of the Member Rate of R700 per credit</w:t>
      </w:r>
    </w:p>
    <w:p>
      <w:pPr>
        <w:pStyle w:val="ListParagraph"/>
        <w:numPr>
          <w:ilvl w:val="0"/>
          <w:numId w:val="1"/>
        </w:numPr>
        <w:spacing w:before="40" w:after="40"/>
        <w:jc w:val="both"/>
      </w:pPr>
      <w:r>
        <w:rPr>
          <w:rFonts w:ascii="Arial" w:cs="Arial" w:eastAsia="Arial" w:hAnsi="Arial"/>
          <w:sz w:val="22"/>
          <w:szCs w:val="22"/>
        </w:rPr>
        <w:t xml:space="preserve">The difference between the Standard Rate and the Member Rate for all credits consumed (R250 per credit) will be calculated and invoiced to the Member, or deducted from any refund due</w:t>
      </w:r>
    </w:p>
    <w:p>
      <w:pPr>
        <w:pStyle w:val="ListParagraph"/>
        <w:numPr>
          <w:ilvl w:val="0"/>
          <w:numId w:val="1"/>
        </w:numPr>
        <w:spacing w:before="40" w:after="40"/>
        <w:jc w:val="both"/>
      </w:pPr>
      <w:r>
        <w:rPr>
          <w:rFonts w:ascii="Arial" w:cs="Arial" w:eastAsia="Arial" w:hAnsi="Arial"/>
          <w:sz w:val="22"/>
          <w:szCs w:val="22"/>
        </w:rPr>
        <w:t xml:space="preserve">This clawback reflects the removal of the member discount that was granted on the basis of a minimum commitment — it is not a penalty but a recovery of a conditional discount</w:t>
      </w:r>
    </w:p>
    <w:p>
      <w:pPr>
        <w:pStyle w:val="ListParagraph"/>
        <w:numPr>
          <w:ilvl w:val="0"/>
          <w:numId w:val="1"/>
        </w:numPr>
        <w:spacing w:before="40" w:after="40"/>
        <w:jc w:val="both"/>
      </w:pPr>
      <w:r>
        <w:rPr>
          <w:rFonts w:ascii="Arial" w:cs="Arial" w:eastAsia="Arial" w:hAnsi="Arial"/>
          <w:sz w:val="22"/>
          <w:szCs w:val="22"/>
        </w:rPr>
        <w:t xml:space="preserve">Credits included in Bundle add-ons consumed during the period are subject to the same clawback at R250 per credit difference</w:t>
      </w:r>
    </w:p>
    <w:p>
      <w:pPr>
        <w:spacing w:before="40" w:after="40"/>
      </w:pPr>
      <w:r>
        <w:t xml:space="preserve"/>
      </w:r>
    </w:p>
    <w:p>
      <w:pPr>
        <w:spacing w:before="60" w:after="60"/>
        <w:jc w:val="both"/>
      </w:pPr>
      <w:r>
        <w:rPr>
          <w:rFonts w:ascii="Arial" w:cs="Arial" w:eastAsia="Arial" w:hAnsi="Arial"/>
          <w:sz w:val="22"/>
          <w:szCs w:val="22"/>
        </w:rPr>
        <w:t xml:space="preserve">Example: A Gold member uses all 4 included credits in month 1, then cancels in month 2. Clawback = 4 credits × R250 = R1,000 invoiced or deducted from any refund. The member has paid R1,398 in subscription fees and received R3,800 in services at standard rate. The clawback partially recovers the discount granted.</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7.1.3 Credits on cancellation</w:t>
      </w:r>
    </w:p>
    <w:p>
      <w:pPr>
        <w:spacing w:before="60" w:after="60"/>
        <w:jc w:val="both"/>
      </w:pPr>
      <w:r>
        <w:rPr>
          <w:rFonts w:ascii="Arial" w:cs="Arial" w:eastAsia="Arial" w:hAnsi="Arial"/>
          <w:sz w:val="22"/>
          <w:szCs w:val="22"/>
        </w:rPr>
        <w:t xml:space="preserve">Unused Service Credits are forfeited on cancellation and are not refundable in cash, regardless of the reason for cancellation or whether the minimum term has been completed. This applies to both included Plan credits and Bundle credits.</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7.1.4 Bundle commitments on cancellation</w:t>
      </w:r>
    </w:p>
    <w:p>
      <w:pPr>
        <w:spacing w:before="60" w:after="60"/>
        <w:jc w:val="both"/>
      </w:pPr>
      <w:r>
        <w:rPr>
          <w:rFonts w:ascii="Arial" w:cs="Arial" w:eastAsia="Arial" w:hAnsi="Arial"/>
          <w:sz w:val="22"/>
          <w:szCs w:val="22"/>
        </w:rPr>
        <w:t xml:space="preserve">Active Bundle add-ons cancelled simultaneously with the base Plan subscription are subject to the same early cancellation clawback where applicable. Bundles that have delivered scheduled services within the cancellation notice period are not refundable for those delivered services.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7.2 Company cancellation</w:t>
      </w:r>
    </w:p>
    <w:p>
      <w:pPr>
        <w:spacing w:before="60" w:after="60"/>
        <w:jc w:val="both"/>
      </w:pPr>
      <w:r>
        <w:rPr>
          <w:rFonts w:ascii="Arial" w:cs="Arial" w:eastAsia="Arial" w:hAnsi="Arial"/>
          <w:sz w:val="22"/>
          <w:szCs w:val="22"/>
        </w:rPr>
        <w:t xml:space="preserve">The Company reserves the right to suspend or terminate a Member's subscription, with immediate effect and without penalty to the Company, in any of the following circumstances:</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7.2.1 Immediate termination grounds</w:t>
      </w:r>
    </w:p>
    <w:p>
      <w:pPr>
        <w:pStyle w:val="ListParagraph"/>
        <w:numPr>
          <w:ilvl w:val="0"/>
          <w:numId w:val="1"/>
        </w:numPr>
        <w:spacing w:before="40" w:after="40"/>
        <w:jc w:val="both"/>
      </w:pPr>
      <w:r>
        <w:rPr>
          <w:rFonts w:ascii="Arial" w:cs="Arial" w:eastAsia="Arial" w:hAnsi="Arial"/>
          <w:sz w:val="22"/>
          <w:szCs w:val="22"/>
        </w:rPr>
        <w:t xml:space="preserve">The Member has provided false, misleading, or materially incomplete information on their HomeGuard Pro profile or in any communication with the Company</w:t>
      </w:r>
    </w:p>
    <w:p>
      <w:pPr>
        <w:pStyle w:val="ListParagraph"/>
        <w:numPr>
          <w:ilvl w:val="0"/>
          <w:numId w:val="1"/>
        </w:numPr>
        <w:spacing w:before="40" w:after="40"/>
        <w:jc w:val="both"/>
      </w:pPr>
      <w:r>
        <w:rPr>
          <w:rFonts w:ascii="Arial" w:cs="Arial" w:eastAsia="Arial" w:hAnsi="Arial"/>
          <w:sz w:val="22"/>
          <w:szCs w:val="22"/>
        </w:rPr>
        <w:t xml:space="preserve">The Member has engaged in fraudulent use of the Platform, including misrepresentation of property systems, fabrication of service disputes, or attempted manipulation of the escrow payment system</w:t>
      </w:r>
    </w:p>
    <w:p>
      <w:pPr>
        <w:pStyle w:val="ListParagraph"/>
        <w:numPr>
          <w:ilvl w:val="0"/>
          <w:numId w:val="1"/>
        </w:numPr>
        <w:spacing w:before="40" w:after="40"/>
        <w:jc w:val="both"/>
      </w:pPr>
      <w:r>
        <w:rPr>
          <w:rFonts w:ascii="Arial" w:cs="Arial" w:eastAsia="Arial" w:hAnsi="Arial"/>
          <w:sz w:val="22"/>
          <w:szCs w:val="22"/>
        </w:rPr>
        <w:t xml:space="preserve">The Member, or any person at the Member's property, has directed verbal abuse, physical aggression, threats, or intimidatory behaviour toward any RCE employee or representative</w:t>
      </w:r>
    </w:p>
    <w:p>
      <w:pPr>
        <w:pStyle w:val="ListParagraph"/>
        <w:numPr>
          <w:ilvl w:val="0"/>
          <w:numId w:val="1"/>
        </w:numPr>
        <w:spacing w:before="40" w:after="40"/>
        <w:jc w:val="both"/>
      </w:pPr>
      <w:r>
        <w:rPr>
          <w:rFonts w:ascii="Arial" w:cs="Arial" w:eastAsia="Arial" w:hAnsi="Arial"/>
          <w:sz w:val="22"/>
          <w:szCs w:val="22"/>
        </w:rPr>
        <w:t xml:space="preserve">The Member has failed to make payment for 30 or more consecutive days following the Company's payment retry and notice procedures set out in Section 5.4</w:t>
      </w:r>
    </w:p>
    <w:p>
      <w:pPr>
        <w:pStyle w:val="ListParagraph"/>
        <w:numPr>
          <w:ilvl w:val="0"/>
          <w:numId w:val="1"/>
        </w:numPr>
        <w:spacing w:before="40" w:after="40"/>
        <w:jc w:val="both"/>
      </w:pPr>
      <w:r>
        <w:rPr>
          <w:rFonts w:ascii="Arial" w:cs="Arial" w:eastAsia="Arial" w:hAnsi="Arial"/>
          <w:sz w:val="22"/>
          <w:szCs w:val="22"/>
        </w:rPr>
        <w:t xml:space="preserve">The Member has repeatedly (on 3 or more occasions) created unsafe working conditions as defined in Section 6.6.6, requiring an RCE technician to withdraw from the property</w:t>
      </w:r>
    </w:p>
    <w:p>
      <w:pPr>
        <w:pStyle w:val="ListParagraph"/>
        <w:numPr>
          <w:ilvl w:val="0"/>
          <w:numId w:val="1"/>
        </w:numPr>
        <w:spacing w:before="40" w:after="40"/>
        <w:jc w:val="both"/>
      </w:pPr>
      <w:r>
        <w:rPr>
          <w:rFonts w:ascii="Arial" w:cs="Arial" w:eastAsia="Arial" w:hAnsi="Arial"/>
          <w:sz w:val="22"/>
          <w:szCs w:val="22"/>
        </w:rPr>
        <w:t xml:space="preserve">The Member has repeatedly (on 3 or more occasions) prevented access for scheduled service visits without reasonable notice or justification</w:t>
      </w:r>
    </w:p>
    <w:p>
      <w:pPr>
        <w:pStyle w:val="ListParagraph"/>
        <w:numPr>
          <w:ilvl w:val="0"/>
          <w:numId w:val="1"/>
        </w:numPr>
        <w:spacing w:before="40" w:after="40"/>
        <w:jc w:val="both"/>
      </w:pPr>
      <w:r>
        <w:rPr>
          <w:rFonts w:ascii="Arial" w:cs="Arial" w:eastAsia="Arial" w:hAnsi="Arial"/>
          <w:sz w:val="22"/>
          <w:szCs w:val="22"/>
        </w:rPr>
        <w:t xml:space="preserve">The Member has used the Platform or the Company's services for any unlawful purpose</w:t>
      </w:r>
    </w:p>
    <w:p>
      <w:pPr>
        <w:pStyle w:val="ListParagraph"/>
        <w:numPr>
          <w:ilvl w:val="0"/>
          <w:numId w:val="1"/>
        </w:numPr>
        <w:spacing w:before="40" w:after="40"/>
        <w:jc w:val="both"/>
      </w:pPr>
      <w:r>
        <w:rPr>
          <w:rFonts w:ascii="Arial" w:cs="Arial" w:eastAsia="Arial" w:hAnsi="Arial"/>
          <w:sz w:val="22"/>
          <w:szCs w:val="22"/>
        </w:rPr>
        <w:t xml:space="preserve">The Member has attempted to circumvent the Platform by engaging directly with RCE technicians to book or pay for services outside the escrow system, in breach of Section 5.2</w:t>
      </w:r>
    </w:p>
    <w:p>
      <w:pPr>
        <w:pStyle w:val="ListParagraph"/>
        <w:numPr>
          <w:ilvl w:val="0"/>
          <w:numId w:val="1"/>
        </w:numPr>
        <w:spacing w:before="40" w:after="40"/>
        <w:jc w:val="both"/>
      </w:pPr>
      <w:r>
        <w:rPr>
          <w:rFonts w:ascii="Arial" w:cs="Arial" w:eastAsia="Arial" w:hAnsi="Arial"/>
          <w:sz w:val="22"/>
          <w:szCs w:val="22"/>
        </w:rPr>
        <w:t xml:space="preserve">Continuation of the subscription would, in the Company's reasonable judgment, expose the Company, its employees, or other parties to legal, reputational, or safety risk</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7.2.2 Cancellation with notice</w:t>
      </w:r>
    </w:p>
    <w:p>
      <w:pPr>
        <w:spacing w:before="60" w:after="60"/>
        <w:jc w:val="both"/>
      </w:pPr>
      <w:r>
        <w:rPr>
          <w:rFonts w:ascii="Arial" w:cs="Arial" w:eastAsia="Arial" w:hAnsi="Arial"/>
          <w:sz w:val="22"/>
          <w:szCs w:val="22"/>
        </w:rPr>
        <w:t xml:space="preserve">In addition to the immediate termination grounds above, the Company may cancel any subscription for any reason with 30 days written notice to the Member's registered email address. In this case, the Member will receive a pro-rata refund of any prepaid subscription fees for the period beyond the cancellation date, and any unused credits will be honoured during the notice period.</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7.2.3 Effect of Company-initiated cancellation</w:t>
      </w:r>
    </w:p>
    <w:p>
      <w:pPr>
        <w:spacing w:before="60" w:after="60"/>
        <w:jc w:val="both"/>
      </w:pPr>
      <w:r>
        <w:rPr>
          <w:rFonts w:ascii="Arial" w:cs="Arial" w:eastAsia="Arial" w:hAnsi="Arial"/>
          <w:sz w:val="22"/>
          <w:szCs w:val="22"/>
        </w:rPr>
        <w:t xml:space="preserve">Where the Company cancels under Section 7.2.1 (immediate grounds), no refund of subscription fees or credits is payable. Additionally, where the termination occurs within the 6-month minimum commitment period, the credit clawback set out in Section 7.1.2 applies — all credits consumed are rebilled at the Standard Rate of R950 per credit and the difference is invoiced to the Member. Where cancellation is on 30 days notice under Section 7.2.2, pro-rata refund of prepaid fees applies and no clawback applies. In all cases, the Member's service history and COC records remain accessible in read-only format for 12 months from the cancellation date.</w:t>
      </w:r>
    </w:p>
    <w:p>
      <w:pPr>
        <w:spacing w:before="40" w:after="40"/>
      </w:pPr>
      <w:r>
        <w:t xml:space="preserve"/>
      </w:r>
    </w:p>
    <w:p>
      <w:pPr>
        <w:pStyle w:val="Heading3"/>
        <w:spacing w:before="200" w:after="60"/>
      </w:pPr>
      <w:r>
        <w:rPr>
          <w:rFonts w:ascii="Arial" w:cs="Arial" w:eastAsia="Arial" w:hAnsi="Arial"/>
          <w:b/>
          <w:bCs/>
          <w:color w:val="1A1A2E"/>
          <w:sz w:val="22"/>
          <w:szCs w:val="22"/>
        </w:rPr>
        <w:t xml:space="preserve">7.2.4 Reinstatement</w:t>
      </w:r>
    </w:p>
    <w:p>
      <w:pPr>
        <w:spacing w:before="60" w:after="60"/>
        <w:jc w:val="both"/>
      </w:pPr>
      <w:r>
        <w:rPr>
          <w:rFonts w:ascii="Arial" w:cs="Arial" w:eastAsia="Arial" w:hAnsi="Arial"/>
          <w:sz w:val="22"/>
          <w:szCs w:val="22"/>
        </w:rPr>
        <w:t xml:space="preserve">A Member whose subscription has been terminated under Section 7.2.1 may apply for reinstatement by written request to hello@homeguardpro.co.za. Reinstatement is at the sole discretion of the Company. The Company is not obliged to provide reasons for declining a reinstatement request. A new subscription, if approved, starts with no carry-over of previous credits or service history.</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7.3 Effect of cancellation</w:t>
      </w:r>
    </w:p>
    <w:p>
      <w:pPr>
        <w:spacing w:before="60" w:after="60"/>
        <w:jc w:val="both"/>
      </w:pPr>
      <w:r>
        <w:rPr>
          <w:rFonts w:ascii="Arial" w:cs="Arial" w:eastAsia="Arial" w:hAnsi="Arial"/>
          <w:sz w:val="22"/>
          <w:szCs w:val="22"/>
        </w:rPr>
        <w:t xml:space="preserve">On cancellation, the Member's Home Health Score, service history, and COC records remain accessible in read-only format for 12 months. The Member's payment method is removed from the Platform. All unfulfilled Bundle commitments within the cancellation notice period remain payable.</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8. Liability and Indemnity</w:t>
      </w:r>
    </w:p>
    <w:p>
      <w:pPr>
        <w:pStyle w:val="Heading2"/>
        <w:spacing w:before="280" w:after="80"/>
      </w:pPr>
      <w:r>
        <w:rPr>
          <w:rFonts w:ascii="Arial" w:cs="Arial" w:eastAsia="Arial" w:hAnsi="Arial"/>
          <w:b/>
          <w:bCs/>
          <w:color w:val="C8820A"/>
          <w:sz w:val="24"/>
          <w:szCs w:val="24"/>
        </w:rPr>
        <w:t xml:space="preserve">8.1 Company liability</w:t>
      </w:r>
    </w:p>
    <w:p>
      <w:pPr>
        <w:spacing w:before="60" w:after="60"/>
        <w:jc w:val="both"/>
      </w:pPr>
      <w:r>
        <w:rPr>
          <w:rFonts w:ascii="Arial" w:cs="Arial" w:eastAsia="Arial" w:hAnsi="Arial"/>
          <w:sz w:val="22"/>
          <w:szCs w:val="22"/>
        </w:rPr>
        <w:t xml:space="preserve">The Company's total liability to the Member for any claim arising from a subscription or service is limited to the total subscription fees paid by the Member in the 12 months preceding the claim. This limitation does not apply to claims arising from gross negligence or wilful misconduct by the Company or its technicians.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8.2 Insurance documentation</w:t>
      </w:r>
    </w:p>
    <w:p>
      <w:pPr>
        <w:spacing w:before="60" w:after="60"/>
        <w:jc w:val="both"/>
      </w:pPr>
      <w:r>
        <w:rPr>
          <w:rFonts w:ascii="Arial" w:cs="Arial" w:eastAsia="Arial" w:hAnsi="Arial"/>
          <w:sz w:val="22"/>
          <w:szCs w:val="22"/>
        </w:rPr>
        <w:t xml:space="preserve">The Company's timestamped digital service reports, COCs, and service history records are designed to meet the documentation requirements of major South African property insurers including but not limited to Santam, Outsurance, Discovery Insure, and Hollard. The Company does not guarantee that any specific insurer will accept any specific documentation. The Member remains responsible for complying with their own insurance policy requirements.</w:t>
      </w:r>
    </w:p>
    <w:p>
      <w:pPr>
        <w:spacing w:before="40" w:after="40"/>
      </w:pPr>
      <w:r>
        <w:t xml:space="preserve"/>
      </w:r>
    </w:p>
    <w:p>
      <w:pPr>
        <w:pStyle w:val="Heading2"/>
        <w:spacing w:before="280" w:after="80"/>
      </w:pPr>
      <w:r>
        <w:rPr>
          <w:rFonts w:ascii="Arial" w:cs="Arial" w:eastAsia="Arial" w:hAnsi="Arial"/>
          <w:b/>
          <w:bCs/>
          <w:color w:val="C8820A"/>
          <w:sz w:val="24"/>
          <w:szCs w:val="24"/>
        </w:rPr>
        <w:t xml:space="preserve">8.3 Member responsibilities</w:t>
      </w:r>
    </w:p>
    <w:p>
      <w:pPr>
        <w:spacing w:before="60" w:after="60"/>
        <w:jc w:val="both"/>
      </w:pPr>
      <w:r>
        <w:rPr>
          <w:rFonts w:ascii="Arial" w:cs="Arial" w:eastAsia="Arial" w:hAnsi="Arial"/>
          <w:sz w:val="22"/>
          <w:szCs w:val="22"/>
        </w:rPr>
        <w:t xml:space="preserve">The Member is responsible for the accuracy of the property system information declared on their HomeGuard Pro profile. The Company is not liable for services that could not be performed due to inaccurate declarations, undisclosed hazards, or pre-existing conditions not disclosed at the time of service booking.</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9. Privacy and Data</w:t>
      </w:r>
    </w:p>
    <w:p>
      <w:pPr>
        <w:spacing w:before="60" w:after="60"/>
        <w:jc w:val="both"/>
      </w:pPr>
      <w:r>
        <w:rPr>
          <w:rFonts w:ascii="Arial" w:cs="Arial" w:eastAsia="Arial" w:hAnsi="Arial"/>
          <w:sz w:val="22"/>
          <w:szCs w:val="22"/>
        </w:rPr>
        <w:t xml:space="preserve">The Company collects and processes personal information in accordance with the Protection of Personal Information Act 4 of 2013 (POPIA). The Member's property information, service history, payment records, and identity documentation are stored securely and used exclusively for the purposes of delivering the HomeGuard Pro subscription service. The Company does not sell Member data to third parties. Full details are available in the HomeGuard Pro Privacy Policy at homeguardpro.co.za/privacy.</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10. Governing Law</w:t>
      </w:r>
    </w:p>
    <w:p>
      <w:pPr>
        <w:spacing w:before="60" w:after="60"/>
        <w:jc w:val="both"/>
      </w:pPr>
      <w:r>
        <w:rPr>
          <w:rFonts w:ascii="Arial" w:cs="Arial" w:eastAsia="Arial" w:hAnsi="Arial"/>
          <w:sz w:val="22"/>
          <w:szCs w:val="22"/>
        </w:rPr>
        <w:t xml:space="preserve">These Terms and Conditions are governed by the laws of the Republic of South Africa. Any dispute that cannot be resolved through the Platform's dispute resolution process shall be referred to the Western Cape High Court, Cape Town, which the parties consent to as the court of jurisdiction.</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11. Amendments</w:t>
      </w:r>
    </w:p>
    <w:p>
      <w:pPr>
        <w:spacing w:before="60" w:after="60"/>
        <w:jc w:val="both"/>
      </w:pPr>
      <w:r>
        <w:rPr>
          <w:rFonts w:ascii="Arial" w:cs="Arial" w:eastAsia="Arial" w:hAnsi="Arial"/>
          <w:sz w:val="22"/>
          <w:szCs w:val="22"/>
        </w:rPr>
        <w:t xml:space="preserve">The Company may amend these Terms and Conditions with 30 days written notice to the Member's registered email address. The Member's continued use of the Platform after the notice period constitutes acceptance of the amended terms. If the Member does not accept the amendments, they may cancel their subscription within the notice period without penalty.</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Schedule A — Plan Summary</w:t>
      </w:r>
    </w:p>
    <w:p>
      <w:pPr>
        <w:spacing w:before="40" w:after="4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40%"/>
            <w:shd w:fill="1A1A2E" w:val="clear"/>
          </w:tcPr>
          <w:p>
            <w:r>
              <w:rPr>
                <w:rFonts w:ascii="Arial" w:cs="Arial" w:eastAsia="Arial" w:hAnsi="Arial"/>
                <w:b/>
                <w:bCs/>
                <w:color w:val="FFFFFF"/>
                <w:sz w:val="18"/>
                <w:szCs w:val="18"/>
              </w:rPr>
              <w:t xml:space="preserve">Feature</w:t>
            </w:r>
          </w:p>
        </w:tc>
        <w:tc>
          <w:tcPr>
            <w:tcW w:type="pct" w:w="15%"/>
            <w:shd w:fill="1A1A2E" w:val="clear"/>
          </w:tcPr>
          <w:p>
            <w:r>
              <w:rPr>
                <w:rFonts w:ascii="Arial" w:cs="Arial" w:eastAsia="Arial" w:hAnsi="Arial"/>
                <w:b/>
                <w:bCs/>
                <w:color w:val="FFFFFF"/>
                <w:sz w:val="18"/>
                <w:szCs w:val="18"/>
              </w:rPr>
              <w:t xml:space="preserve">Bronze</w:t>
            </w:r>
          </w:p>
        </w:tc>
        <w:tc>
          <w:tcPr>
            <w:tcW w:type="pct" w:w="15%"/>
            <w:shd w:fill="1A1A2E" w:val="clear"/>
          </w:tcPr>
          <w:p>
            <w:r>
              <w:rPr>
                <w:rFonts w:ascii="Arial" w:cs="Arial" w:eastAsia="Arial" w:hAnsi="Arial"/>
                <w:b/>
                <w:bCs/>
                <w:color w:val="FFFFFF"/>
                <w:sz w:val="18"/>
                <w:szCs w:val="18"/>
              </w:rPr>
              <w:t xml:space="preserve">Silver</w:t>
            </w:r>
          </w:p>
        </w:tc>
        <w:tc>
          <w:tcPr>
            <w:tcW w:type="pct" w:w="15%"/>
            <w:shd w:fill="1A1A2E" w:val="clear"/>
          </w:tcPr>
          <w:p>
            <w:r>
              <w:rPr>
                <w:rFonts w:ascii="Arial" w:cs="Arial" w:eastAsia="Arial" w:hAnsi="Arial"/>
                <w:b/>
                <w:bCs/>
                <w:color w:val="FFFFFF"/>
                <w:sz w:val="18"/>
                <w:szCs w:val="18"/>
              </w:rPr>
              <w:t xml:space="preserve">Gold</w:t>
            </w:r>
          </w:p>
        </w:tc>
        <w:tc>
          <w:tcPr>
            <w:tcW w:type="pct" w:w="15%"/>
            <w:shd w:fill="1A1A2E" w:val="clear"/>
          </w:tcPr>
          <w:p>
            <w:r>
              <w:rPr>
                <w:rFonts w:ascii="Arial" w:cs="Arial" w:eastAsia="Arial" w:hAnsi="Arial"/>
                <w:b/>
                <w:bCs/>
                <w:color w:val="FFFFFF"/>
                <w:sz w:val="18"/>
                <w:szCs w:val="18"/>
              </w:rPr>
              <w:t xml:space="preserve">Custom</w:t>
            </w:r>
          </w:p>
        </w:tc>
      </w:tr>
      <w:tr>
        <w:tc>
          <w:tcPr>
            <w:shd w:fill="F5F5F5" w:val="clear"/>
          </w:tcPr>
          <w:p>
            <w:r>
              <w:rPr>
                <w:rFonts w:ascii="Arial" w:cs="Arial" w:eastAsia="Arial" w:hAnsi="Arial"/>
                <w:sz w:val="18"/>
                <w:szCs w:val="18"/>
              </w:rPr>
              <w:t xml:space="preserve">Monthly fee</w:t>
            </w:r>
          </w:p>
        </w:tc>
        <w:tc>
          <w:tcPr>
            <w:shd w:fill="F5F5F5" w:val="clear"/>
          </w:tcPr>
          <w:p>
            <w:pPr>
              <w:jc w:val="center"/>
            </w:pPr>
            <w:r>
              <w:rPr>
                <w:rFonts w:ascii="Arial" w:cs="Arial" w:eastAsia="Arial" w:hAnsi="Arial"/>
                <w:sz w:val="18"/>
                <w:szCs w:val="18"/>
              </w:rPr>
              <w:t xml:space="preserve">R199</w:t>
            </w:r>
          </w:p>
        </w:tc>
        <w:tc>
          <w:tcPr>
            <w:shd w:fill="F5F5F5" w:val="clear"/>
          </w:tcPr>
          <w:p>
            <w:pPr>
              <w:jc w:val="center"/>
            </w:pPr>
            <w:r>
              <w:rPr>
                <w:rFonts w:ascii="Arial" w:cs="Arial" w:eastAsia="Arial" w:hAnsi="Arial"/>
                <w:sz w:val="18"/>
                <w:szCs w:val="18"/>
              </w:rPr>
              <w:t xml:space="preserve">R399</w:t>
            </w:r>
          </w:p>
        </w:tc>
        <w:tc>
          <w:tcPr>
            <w:shd w:fill="F5F5F5" w:val="clear"/>
          </w:tcPr>
          <w:p>
            <w:pPr>
              <w:jc w:val="center"/>
            </w:pPr>
            <w:r>
              <w:rPr>
                <w:rFonts w:ascii="Arial" w:cs="Arial" w:eastAsia="Arial" w:hAnsi="Arial"/>
                <w:sz w:val="18"/>
                <w:szCs w:val="18"/>
              </w:rPr>
              <w:t xml:space="preserve">R699</w:t>
            </w:r>
          </w:p>
        </w:tc>
        <w:tc>
          <w:tcPr>
            <w:shd w:fill="F5F5F5" w:val="clear"/>
          </w:tcPr>
          <w:p>
            <w:pPr>
              <w:jc w:val="center"/>
            </w:pPr>
            <w:r>
              <w:rPr>
                <w:rFonts w:ascii="Arial" w:cs="Arial" w:eastAsia="Arial" w:hAnsi="Arial"/>
                <w:sz w:val="18"/>
                <w:szCs w:val="18"/>
              </w:rPr>
              <w:t xml:space="preserve">Quoted</w:t>
            </w:r>
          </w:p>
        </w:tc>
      </w:tr>
      <w:tr>
        <w:tc>
          <w:p>
            <w:r>
              <w:rPr>
                <w:rFonts w:ascii="Arial" w:cs="Arial" w:eastAsia="Arial" w:hAnsi="Arial"/>
                <w:sz w:val="18"/>
                <w:szCs w:val="18"/>
              </w:rPr>
              <w:t xml:space="preserve">Home Health Score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r>
      <w:tr>
        <w:tc>
          <w:tcPr>
            <w:shd w:fill="F5F5F5" w:val="clear"/>
          </w:tcPr>
          <w:p>
            <w:r>
              <w:rPr>
                <w:rFonts w:ascii="Arial" w:cs="Arial" w:eastAsia="Arial" w:hAnsi="Arial"/>
                <w:sz w:val="18"/>
                <w:szCs w:val="18"/>
              </w:rPr>
              <w:t xml:space="preserve">Automatic alerts</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r>
      <w:tr>
        <w:tc>
          <w:p>
            <w:r>
              <w:rPr>
                <w:rFonts w:ascii="Arial" w:cs="Arial" w:eastAsia="Arial" w:hAnsi="Arial"/>
                <w:sz w:val="18"/>
                <w:szCs w:val="18"/>
              </w:rPr>
              <w:t xml:space="preserve">Booking access</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r>
      <w:tr>
        <w:tc>
          <w:tcPr>
            <w:shd w:fill="F5F5F5" w:val="clear"/>
          </w:tcPr>
          <w:p>
            <w:r>
              <w:rPr>
                <w:rFonts w:ascii="Arial" w:cs="Arial" w:eastAsia="Arial" w:hAnsi="Arial"/>
                <w:sz w:val="18"/>
                <w:szCs w:val="18"/>
              </w:rPr>
              <w:t xml:space="preserve">Service reports + COC</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r>
      <w:tr>
        <w:tc>
          <w:p>
            <w:r>
              <w:rPr>
                <w:rFonts w:ascii="Arial" w:cs="Arial" w:eastAsia="Arial" w:hAnsi="Arial"/>
                <w:sz w:val="18"/>
                <w:szCs w:val="18"/>
              </w:rPr>
              <w:t xml:space="preserve">Included credits / year</w:t>
            </w:r>
          </w:p>
        </w:tc>
        <w:tc>
          <w:p>
            <w:pPr>
              <w:jc w:val="center"/>
            </w:pPr>
            <w:r>
              <w:rPr>
                <w:rFonts w:ascii="Arial" w:cs="Arial" w:eastAsia="Arial" w:hAnsi="Arial"/>
                <w:sz w:val="18"/>
                <w:szCs w:val="18"/>
              </w:rPr>
              <w:t xml:space="preserve">0</w:t>
            </w:r>
          </w:p>
        </w:tc>
        <w:tc>
          <w:p>
            <w:pPr>
              <w:jc w:val="center"/>
            </w:pPr>
            <w:r>
              <w:rPr>
                <w:rFonts w:ascii="Arial" w:cs="Arial" w:eastAsia="Arial" w:hAnsi="Arial"/>
                <w:sz w:val="18"/>
                <w:szCs w:val="18"/>
              </w:rPr>
              <w:t xml:space="preserve">2</w:t>
            </w:r>
          </w:p>
        </w:tc>
        <w:tc>
          <w:p>
            <w:pPr>
              <w:jc w:val="center"/>
            </w:pPr>
            <w:r>
              <w:rPr>
                <w:rFonts w:ascii="Arial" w:cs="Arial" w:eastAsia="Arial" w:hAnsi="Arial"/>
                <w:sz w:val="18"/>
                <w:szCs w:val="18"/>
              </w:rPr>
              <w:t xml:space="preserve">4</w:t>
            </w:r>
          </w:p>
        </w:tc>
        <w:tc>
          <w:p>
            <w:pPr>
              <w:jc w:val="center"/>
            </w:pPr>
            <w:r>
              <w:rPr>
                <w:rFonts w:ascii="Arial" w:cs="Arial" w:eastAsia="Arial" w:hAnsi="Arial"/>
                <w:sz w:val="18"/>
                <w:szCs w:val="18"/>
              </w:rPr>
              <w:t xml:space="preserve">Agreed</w:t>
            </w:r>
          </w:p>
        </w:tc>
      </w:tr>
      <w:tr>
        <w:tc>
          <w:tcPr>
            <w:shd w:fill="F5F5F5" w:val="clear"/>
          </w:tcPr>
          <w:p>
            <w:r>
              <w:rPr>
                <w:rFonts w:ascii="Arial" w:cs="Arial" w:eastAsia="Arial" w:hAnsi="Arial"/>
                <w:sz w:val="18"/>
                <w:szCs w:val="18"/>
              </w:rPr>
              <w:t xml:space="preserve">Member Rate (additional credits)</w:t>
            </w:r>
          </w:p>
        </w:tc>
        <w:tc>
          <w:tcPr>
            <w:shd w:fill="F5F5F5" w:val="clear"/>
          </w:tcPr>
          <w:p>
            <w:pPr>
              <w:jc w:val="center"/>
            </w:pPr>
            <w:r>
              <w:rPr>
                <w:rFonts w:ascii="Arial" w:cs="Arial" w:eastAsia="Arial" w:hAnsi="Arial"/>
                <w:sz w:val="18"/>
                <w:szCs w:val="18"/>
              </w:rPr>
              <w:t xml:space="preserve">R700</w:t>
            </w:r>
          </w:p>
        </w:tc>
        <w:tc>
          <w:tcPr>
            <w:shd w:fill="F5F5F5" w:val="clear"/>
          </w:tcPr>
          <w:p>
            <w:pPr>
              <w:jc w:val="center"/>
            </w:pPr>
            <w:r>
              <w:rPr>
                <w:rFonts w:ascii="Arial" w:cs="Arial" w:eastAsia="Arial" w:hAnsi="Arial"/>
                <w:sz w:val="18"/>
                <w:szCs w:val="18"/>
              </w:rPr>
              <w:t xml:space="preserve">R700</w:t>
            </w:r>
          </w:p>
        </w:tc>
        <w:tc>
          <w:tcPr>
            <w:shd w:fill="F5F5F5" w:val="clear"/>
          </w:tcPr>
          <w:p>
            <w:pPr>
              <w:jc w:val="center"/>
            </w:pPr>
            <w:r>
              <w:rPr>
                <w:rFonts w:ascii="Arial" w:cs="Arial" w:eastAsia="Arial" w:hAnsi="Arial"/>
                <w:sz w:val="18"/>
                <w:szCs w:val="18"/>
              </w:rPr>
              <w:t xml:space="preserve">R700</w:t>
            </w:r>
          </w:p>
        </w:tc>
        <w:tc>
          <w:tcPr>
            <w:shd w:fill="F5F5F5" w:val="clear"/>
          </w:tcPr>
          <w:p>
            <w:pPr>
              <w:jc w:val="center"/>
            </w:pPr>
            <w:r>
              <w:rPr>
                <w:rFonts w:ascii="Arial" w:cs="Arial" w:eastAsia="Arial" w:hAnsi="Arial"/>
                <w:sz w:val="18"/>
                <w:szCs w:val="18"/>
              </w:rPr>
              <w:t xml:space="preserve">Agreed</w:t>
            </w:r>
          </w:p>
        </w:tc>
      </w:tr>
      <w:tr>
        <w:tc>
          <w:p>
            <w:r>
              <w:rPr>
                <w:rFonts w:ascii="Arial" w:cs="Arial" w:eastAsia="Arial" w:hAnsi="Arial"/>
                <w:sz w:val="18"/>
                <w:szCs w:val="18"/>
              </w:rPr>
              <w:t xml:space="preserve">Member bill discount</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10%</w:t>
            </w:r>
          </w:p>
        </w:tc>
        <w:tc>
          <w:p>
            <w:pPr>
              <w:jc w:val="center"/>
            </w:pPr>
            <w:r>
              <w:rPr>
                <w:rFonts w:ascii="Arial" w:cs="Arial" w:eastAsia="Arial" w:hAnsi="Arial"/>
                <w:sz w:val="18"/>
                <w:szCs w:val="18"/>
              </w:rPr>
              <w:t xml:space="preserve">15%</w:t>
            </w:r>
          </w:p>
        </w:tc>
        <w:tc>
          <w:p>
            <w:pPr>
              <w:jc w:val="center"/>
            </w:pPr>
            <w:r>
              <w:rPr>
                <w:rFonts w:ascii="Arial" w:cs="Arial" w:eastAsia="Arial" w:hAnsi="Arial"/>
                <w:sz w:val="18"/>
                <w:szCs w:val="18"/>
              </w:rPr>
              <w:t xml:space="preserve">20%+</w:t>
            </w:r>
          </w:p>
        </w:tc>
      </w:tr>
      <w:tr>
        <w:tc>
          <w:tcPr>
            <w:shd w:fill="F5F5F5" w:val="clear"/>
          </w:tcPr>
          <w:p>
            <w:r>
              <w:rPr>
                <w:rFonts w:ascii="Arial" w:cs="Arial" w:eastAsia="Arial" w:hAnsi="Arial"/>
                <w:sz w:val="18"/>
                <w:szCs w:val="18"/>
              </w:rPr>
              <w:t xml:space="preserve">Priority booking</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r>
      <w:tr>
        <w:tc>
          <w:p>
            <w:r>
              <w:rPr>
                <w:rFonts w:ascii="Arial" w:cs="Arial" w:eastAsia="Arial" w:hAnsi="Arial"/>
                <w:sz w:val="18"/>
                <w:szCs w:val="18"/>
              </w:rPr>
              <w:t xml:space="preserve">Priority dispatch</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r>
      <w:tr>
        <w:tc>
          <w:tcPr>
            <w:shd w:fill="F5F5F5" w:val="clear"/>
          </w:tcPr>
          <w:p>
            <w:r>
              <w:rPr>
                <w:rFonts w:ascii="Arial" w:cs="Arial" w:eastAsia="Arial" w:hAnsi="Arial"/>
                <w:sz w:val="18"/>
                <w:szCs w:val="18"/>
              </w:rPr>
              <w:t xml:space="preserve">Bundle add-ons available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c>
          <w:tcPr>
            <w:shd w:fill="F5F5F5" w:val="clear"/>
          </w:tcPr>
          <w:p>
            <w:pPr>
              <w:jc w:val="center"/>
            </w:pPr>
            <w:r>
              <w:rPr>
                <w:rFonts w:ascii="Arial" w:cs="Arial" w:eastAsia="Arial" w:hAnsi="Arial"/>
                <w:sz w:val="18"/>
                <w:szCs w:val="18"/>
              </w:rPr>
              <w:t xml:space="preserve">✓</w:t>
            </w:r>
          </w:p>
        </w:tc>
      </w:tr>
      <w:tr>
        <w:tc>
          <w:p>
            <w:r>
              <w:rPr>
                <w:rFonts w:ascii="Arial" w:cs="Arial" w:eastAsia="Arial" w:hAnsi="Arial"/>
                <w:sz w:val="18"/>
                <w:szCs w:val="18"/>
              </w:rPr>
              <w:t xml:space="preserve">Credit rollover</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c>
          <w:p>
            <w:pPr>
              <w:jc w:val="center"/>
            </w:pPr>
            <w:r>
              <w:rPr>
                <w:rFonts w:ascii="Arial" w:cs="Arial" w:eastAsia="Arial" w:hAnsi="Arial"/>
                <w:sz w:val="18"/>
                <w:szCs w:val="18"/>
              </w:rPr>
              <w:t xml:space="preserve">✓</w:t>
            </w:r>
          </w:p>
        </w:tc>
      </w:tr>
    </w:tbl>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Schedule B — Service &amp; Bundle Table</w:t>
      </w:r>
    </w:p>
    <w:p>
      <w:pPr>
        <w:spacing w:before="60" w:after="60"/>
        <w:jc w:val="both"/>
      </w:pPr>
      <w:r>
        <w:rPr>
          <w:rFonts w:ascii="Arial" w:cs="Arial" w:eastAsia="Arial" w:hAnsi="Arial"/>
          <w:sz w:val="22"/>
          <w:szCs w:val="22"/>
        </w:rPr>
        <w:t xml:space="preserve">Credit rule: 1 credit = call-out + first hour on site. Each additional hour (or part thereof) = 1 additional credit. Bundle monthly cost = (credits/visit × visits/year × R700) ÷ 12. Parts and materials quoted separately.</w:t>
      </w:r>
    </w:p>
    <w:p>
      <w:pPr>
        <w:spacing w:before="40" w:after="4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35%"/>
            <w:shd w:fill="1A1A2E" w:color="1A1A2E" w:val="clear"/>
          </w:tcPr>
          <w:p>
            <w:r>
              <w:rPr>
                <w:rFonts w:ascii="Arial" w:cs="Arial" w:eastAsia="Arial" w:hAnsi="Arial"/>
                <w:b/>
                <w:bCs/>
                <w:color w:val="FFFFFF"/>
                <w:sz w:val="18"/>
                <w:szCs w:val="18"/>
              </w:rPr>
              <w:t xml:space="preserve">Service</w:t>
            </w:r>
          </w:p>
        </w:tc>
        <w:tc>
          <w:tcPr>
            <w:tcW w:type="pct" w:w="25%"/>
            <w:shd w:fill="1A1A2E" w:color="1A1A2E" w:val="clear"/>
          </w:tcPr>
          <w:p>
            <w:r>
              <w:rPr>
                <w:rFonts w:ascii="Arial" w:cs="Arial" w:eastAsia="Arial" w:hAnsi="Arial"/>
                <w:b/>
                <w:bCs/>
                <w:color w:val="FFFFFF"/>
                <w:sz w:val="18"/>
                <w:szCs w:val="18"/>
              </w:rPr>
              <w:t xml:space="preserve">SANS / Standard</w:t>
            </w:r>
          </w:p>
        </w:tc>
        <w:tc>
          <w:tcPr>
            <w:tcW w:type="pct" w:w="15%"/>
            <w:shd w:fill="1A1A2E" w:color="1A1A2E" w:val="clear"/>
          </w:tcPr>
          <w:p>
            <w:r>
              <w:rPr>
                <w:rFonts w:ascii="Arial" w:cs="Arial" w:eastAsia="Arial" w:hAnsi="Arial"/>
                <w:b/>
                <w:bCs/>
                <w:color w:val="FFFFFF"/>
                <w:sz w:val="18"/>
                <w:szCs w:val="18"/>
              </w:rPr>
              <w:t xml:space="preserve">Frequency</w:t>
            </w:r>
          </w:p>
        </w:tc>
        <w:tc>
          <w:tcPr>
            <w:tcW w:type="pct" w:w="13%"/>
            <w:shd w:fill="1A1A2E" w:color="1A1A2E" w:val="clear"/>
          </w:tcPr>
          <w:p>
            <w:r>
              <w:rPr>
                <w:rFonts w:ascii="Arial" w:cs="Arial" w:eastAsia="Arial" w:hAnsi="Arial"/>
                <w:b/>
                <w:bCs/>
                <w:color w:val="FFFFFF"/>
                <w:sz w:val="18"/>
                <w:szCs w:val="18"/>
              </w:rPr>
              <w:t xml:space="preserve">Credits / visit</w:t>
            </w:r>
          </w:p>
        </w:tc>
        <w:tc>
          <w:tcPr>
            <w:tcW w:type="pct" w:w="12%"/>
            <w:shd w:fill="1A1A2E" w:color="1A1A2E" w:val="clear"/>
          </w:tcPr>
          <w:p>
            <w:r>
              <w:rPr>
                <w:rFonts w:ascii="Arial" w:cs="Arial" w:eastAsia="Arial" w:hAnsi="Arial"/>
                <w:b/>
                <w:bCs/>
                <w:color w:val="FFFFFF"/>
                <w:sz w:val="18"/>
                <w:szCs w:val="18"/>
              </w:rPr>
              <w:t xml:space="preserve">Monthly bundle</w:t>
            </w:r>
          </w:p>
        </w:tc>
      </w:tr>
      <w:tr>
        <w:tc>
          <w:tcPr>
            <w:shd w:fill="F5F5F5" w:color="F5F5F5" w:val="clear"/>
          </w:tcPr>
          <w:p>
            <w:r>
              <w:rPr>
                <w:rFonts w:ascii="Arial" w:cs="Arial" w:eastAsia="Arial" w:hAnsi="Arial"/>
                <w:sz w:val="18"/>
                <w:szCs w:val="18"/>
              </w:rPr>
              <w:t xml:space="preserve">Geyser annual inspection</w:t>
            </w:r>
          </w:p>
        </w:tc>
        <w:tc>
          <w:tcPr>
            <w:shd w:fill="F5F5F5" w:color="F5F5F5" w:val="clear"/>
          </w:tcPr>
          <w:p>
            <w:r>
              <w:rPr>
                <w:rFonts w:ascii="Arial" w:cs="Arial" w:eastAsia="Arial" w:hAnsi="Arial"/>
                <w:color w:val="666666"/>
                <w:sz w:val="16"/>
                <w:szCs w:val="16"/>
              </w:rPr>
              <w:t xml:space="preserve">SANS 10254 · PIRB CoC</w:t>
            </w:r>
          </w:p>
        </w:tc>
        <w:tc>
          <w:tcPr>
            <w:shd w:fill="F5F5F5" w:color="F5F5F5" w:val="clear"/>
          </w:tcPr>
          <w:p>
            <w:pPr>
              <w:jc w:val="center"/>
            </w:pPr>
            <w:r>
              <w:rPr>
                <w:rFonts w:ascii="Arial" w:cs="Arial" w:eastAsia="Arial" w:hAnsi="Arial"/>
                <w:sz w:val="18"/>
                <w:szCs w:val="18"/>
              </w:rPr>
              <w:t xml:space="preserve">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R58</w:t>
            </w:r>
          </w:p>
        </w:tc>
      </w:tr>
      <w:tr>
        <w:tc>
          <w:p>
            <w:r>
              <w:rPr>
                <w:rFonts w:ascii="Arial" w:cs="Arial" w:eastAsia="Arial" w:hAnsi="Arial"/>
                <w:sz w:val="18"/>
                <w:szCs w:val="18"/>
              </w:rPr>
              <w:t xml:space="preserve">Heat pump service</w:t>
            </w:r>
          </w:p>
        </w:tc>
        <w:tc>
          <w:p>
            <w:r>
              <w:rPr>
                <w:rFonts w:ascii="Arial" w:cs="Arial" w:eastAsia="Arial" w:hAnsi="Arial"/>
                <w:color w:val="666666"/>
                <w:sz w:val="16"/>
                <w:szCs w:val="16"/>
              </w:rPr>
              <w:t xml:space="preserve">SANS 1352 · PIRB CoC</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Solar panel clean + efficiency test (per 8 panels)</w:t>
            </w:r>
          </w:p>
        </w:tc>
        <w:tc>
          <w:tcPr>
            <w:shd w:fill="F5F5F5" w:color="F5F5F5" w:val="clear"/>
          </w:tcPr>
          <w:p>
            <w:r>
              <w:rPr>
                <w:rFonts w:ascii="Arial" w:cs="Arial" w:eastAsia="Arial" w:hAnsi="Arial"/>
                <w:color w:val="666666"/>
                <w:sz w:val="16"/>
                <w:szCs w:val="16"/>
              </w:rPr>
              <w:t xml:space="preserve">Manufacturer spec · clamp meter test</w:t>
            </w:r>
          </w:p>
        </w:tc>
        <w:tc>
          <w:tcPr>
            <w:shd w:fill="F5F5F5" w:color="F5F5F5" w:val="clear"/>
          </w:tcPr>
          <w:p>
            <w:pPr>
              <w:jc w:val="center"/>
            </w:pPr>
            <w:r>
              <w:rPr>
                <w:rFonts w:ascii="Arial" w:cs="Arial" w:eastAsia="Arial" w:hAnsi="Arial"/>
                <w:sz w:val="18"/>
                <w:szCs w:val="18"/>
              </w:rPr>
              <w:t xml:space="preserve">Annual</w:t>
            </w:r>
          </w:p>
        </w:tc>
        <w:tc>
          <w:tcPr>
            <w:shd w:fill="F5F5F5" w:color="F5F5F5" w:val="clear"/>
          </w:tcPr>
          <w:p>
            <w:pPr>
              <w:jc w:val="center"/>
            </w:pPr>
            <w:r>
              <w:rPr>
                <w:rFonts w:ascii="Arial" w:cs="Arial" w:eastAsia="Arial" w:hAnsi="Arial"/>
                <w:b/>
                <w:bCs/>
                <w:sz w:val="18"/>
                <w:szCs w:val="18"/>
              </w:rPr>
              <w:t xml:space="preserve">2</w:t>
            </w:r>
          </w:p>
        </w:tc>
        <w:tc>
          <w:tcPr>
            <w:shd w:fill="F5F5F5" w:color="F5F5F5" w:val="clear"/>
          </w:tcPr>
          <w:p>
            <w:pPr>
              <w:jc w:val="center"/>
            </w:pPr>
            <w:r>
              <w:rPr>
                <w:rFonts w:ascii="Arial" w:cs="Arial" w:eastAsia="Arial" w:hAnsi="Arial"/>
                <w:b/>
                <w:bCs/>
                <w:color w:val="C8820A"/>
                <w:sz w:val="18"/>
                <w:szCs w:val="18"/>
              </w:rPr>
              <w:t xml:space="preserve">R117</w:t>
            </w:r>
          </w:p>
        </w:tc>
      </w:tr>
      <w:tr>
        <w:tc>
          <w:p>
            <w:r>
              <w:rPr>
                <w:rFonts w:ascii="Arial" w:cs="Arial" w:eastAsia="Arial" w:hAnsi="Arial"/>
                <w:sz w:val="18"/>
                <w:szCs w:val="18"/>
              </w:rPr>
              <w:t xml:space="preserve">Inverter battery SoH check</w:t>
            </w:r>
          </w:p>
        </w:tc>
        <w:tc>
          <w:p>
            <w:r>
              <w:rPr>
                <w:rFonts w:ascii="Arial" w:cs="Arial" w:eastAsia="Arial" w:hAnsi="Arial"/>
                <w:color w:val="666666"/>
                <w:sz w:val="16"/>
                <w:szCs w:val="16"/>
              </w:rPr>
              <w:t xml:space="preserve">LiFePO4 &amp; lead-acid spec</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Borehole pump service</w:t>
            </w:r>
          </w:p>
        </w:tc>
        <w:tc>
          <w:tcPr>
            <w:shd w:fill="F5F5F5" w:color="F5F5F5" w:val="clear"/>
          </w:tcPr>
          <w:p>
            <w:r>
              <w:rPr>
                <w:rFonts w:ascii="Arial" w:cs="Arial" w:eastAsia="Arial" w:hAnsi="Arial"/>
                <w:color w:val="666666"/>
                <w:sz w:val="16"/>
                <w:szCs w:val="16"/>
              </w:rPr>
              <w:t xml:space="preserve">Flow rate · field water quality</w:t>
            </w:r>
          </w:p>
        </w:tc>
        <w:tc>
          <w:tcPr>
            <w:shd w:fill="F5F5F5" w:color="F5F5F5" w:val="clear"/>
          </w:tcPr>
          <w:p>
            <w:pPr>
              <w:jc w:val="center"/>
            </w:pPr>
            <w:r>
              <w:rPr>
                <w:rFonts w:ascii="Arial" w:cs="Arial" w:eastAsia="Arial" w:hAnsi="Arial"/>
                <w:sz w:val="18"/>
                <w:szCs w:val="18"/>
              </w:rPr>
              <w:t xml:space="preserve">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R58</w:t>
            </w:r>
          </w:p>
        </w:tc>
      </w:tr>
      <w:tr>
        <w:tc>
          <w:p>
            <w:r>
              <w:rPr>
                <w:rFonts w:ascii="Arial" w:cs="Arial" w:eastAsia="Arial" w:hAnsi="Arial"/>
                <w:sz w:val="18"/>
                <w:szCs w:val="18"/>
              </w:rPr>
              <w:t xml:space="preserve">Gas geyser service</w:t>
            </w:r>
          </w:p>
        </w:tc>
        <w:tc>
          <w:p>
            <w:r>
              <w:rPr>
                <w:rFonts w:ascii="Arial" w:cs="Arial" w:eastAsia="Arial" w:hAnsi="Arial"/>
                <w:color w:val="666666"/>
                <w:sz w:val="16"/>
                <w:szCs w:val="16"/>
              </w:rPr>
              <w:t xml:space="preserve">SANS 10087 · gas CoC</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Electric fence test + COC</w:t>
            </w:r>
          </w:p>
        </w:tc>
        <w:tc>
          <w:tcPr>
            <w:shd w:fill="F5F5F5" w:color="F5F5F5" w:val="clear"/>
          </w:tcPr>
          <w:p>
            <w:r>
              <w:rPr>
                <w:rFonts w:ascii="Arial" w:cs="Arial" w:eastAsia="Arial" w:hAnsi="Arial"/>
                <w:color w:val="666666"/>
                <w:sz w:val="16"/>
                <w:szCs w:val="16"/>
              </w:rPr>
              <w:t xml:space="preserve">SANS 10222-3:2023 (Ed.5.1)</w:t>
            </w:r>
          </w:p>
        </w:tc>
        <w:tc>
          <w:tcPr>
            <w:shd w:fill="F5F5F5" w:color="F5F5F5" w:val="clear"/>
          </w:tcPr>
          <w:p>
            <w:pPr>
              <w:jc w:val="center"/>
            </w:pPr>
            <w:r>
              <w:rPr>
                <w:rFonts w:ascii="Arial" w:cs="Arial" w:eastAsia="Arial" w:hAnsi="Arial"/>
                <w:sz w:val="18"/>
                <w:szCs w:val="18"/>
              </w:rPr>
              <w:t xml:space="preserve">Bi-annual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R117</w:t>
            </w:r>
          </w:p>
        </w:tc>
      </w:tr>
      <w:tr>
        <w:tc>
          <w:p>
            <w:r>
              <w:rPr>
                <w:rFonts w:ascii="Arial" w:cs="Arial" w:eastAsia="Arial" w:hAnsi="Arial"/>
                <w:sz w:val="18"/>
                <w:szCs w:val="18"/>
              </w:rPr>
              <w:t xml:space="preserve">Alarm system service</w:t>
            </w:r>
          </w:p>
        </w:tc>
        <w:tc>
          <w:p>
            <w:r>
              <w:rPr>
                <w:rFonts w:ascii="Arial" w:cs="Arial" w:eastAsia="Arial" w:hAnsi="Arial"/>
                <w:color w:val="666666"/>
                <w:sz w:val="16"/>
                <w:szCs w:val="16"/>
              </w:rPr>
              <w:t xml:space="preserve">SAIDSA code</w:t>
            </w:r>
          </w:p>
        </w:tc>
        <w:tc>
          <w:p>
            <w:pPr>
              <w:jc w:val="center"/>
            </w:pPr>
            <w:r>
              <w:rPr>
                <w:rFonts w:ascii="Arial" w:cs="Arial" w:eastAsia="Arial" w:hAnsi="Arial"/>
                <w:sz w:val="18"/>
                <w:szCs w:val="18"/>
              </w:rPr>
              <w:t xml:space="preserve">Bi-annual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R117</w:t>
            </w:r>
          </w:p>
        </w:tc>
      </w:tr>
      <w:tr>
        <w:tc>
          <w:tcPr>
            <w:shd w:fill="F5F5F5" w:color="F5F5F5" w:val="clear"/>
          </w:tcPr>
          <w:p>
            <w:r>
              <w:rPr>
                <w:rFonts w:ascii="Arial" w:cs="Arial" w:eastAsia="Arial" w:hAnsi="Arial"/>
                <w:sz w:val="18"/>
                <w:szCs w:val="18"/>
              </w:rPr>
              <w:t xml:space="preserve">Gate motor service</w:t>
            </w:r>
          </w:p>
        </w:tc>
        <w:tc>
          <w:tcPr>
            <w:shd w:fill="F5F5F5" w:color="F5F5F5" w:val="clear"/>
          </w:tcPr>
          <w:p>
            <w:r>
              <w:rPr>
                <w:rFonts w:ascii="Arial" w:cs="Arial" w:eastAsia="Arial" w:hAnsi="Arial"/>
                <w:color w:val="666666"/>
                <w:sz w:val="16"/>
                <w:szCs w:val="16"/>
              </w:rPr>
              <w:t xml:space="preserve">CENTURION / ET Systems / FAAC</w:t>
            </w:r>
          </w:p>
        </w:tc>
        <w:tc>
          <w:tcPr>
            <w:shd w:fill="F5F5F5" w:color="F5F5F5" w:val="clear"/>
          </w:tcPr>
          <w:p>
            <w:pPr>
              <w:jc w:val="center"/>
            </w:pPr>
            <w:r>
              <w:rPr>
                <w:rFonts w:ascii="Arial" w:cs="Arial" w:eastAsia="Arial" w:hAnsi="Arial"/>
                <w:sz w:val="18"/>
                <w:szCs w:val="18"/>
              </w:rPr>
              <w:t xml:space="preserve">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R58</w:t>
            </w:r>
          </w:p>
        </w:tc>
      </w:tr>
      <w:tr>
        <w:tc>
          <w:p>
            <w:r>
              <w:rPr>
                <w:rFonts w:ascii="Arial" w:cs="Arial" w:eastAsia="Arial" w:hAnsi="Arial"/>
                <w:sz w:val="18"/>
                <w:szCs w:val="18"/>
              </w:rPr>
              <w:t xml:space="preserve">Garage door motor service</w:t>
            </w:r>
          </w:p>
        </w:tc>
        <w:tc>
          <w:p>
            <w:r>
              <w:rPr>
                <w:rFonts w:ascii="Arial" w:cs="Arial" w:eastAsia="Arial" w:hAnsi="Arial"/>
                <w:color w:val="666666"/>
                <w:sz w:val="16"/>
                <w:szCs w:val="16"/>
              </w:rPr>
              <w:t xml:space="preserve">Centurion / Merlin spec</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CCTV clean + IR LED test</w:t>
            </w:r>
          </w:p>
        </w:tc>
        <w:tc>
          <w:tcPr>
            <w:shd w:fill="F5F5F5" w:color="F5F5F5" w:val="clear"/>
          </w:tcPr>
          <w:p>
            <w:r>
              <w:rPr>
                <w:rFonts w:ascii="Arial" w:cs="Arial" w:eastAsia="Arial" w:hAnsi="Arial"/>
                <w:color w:val="666666"/>
                <w:sz w:val="16"/>
                <w:szCs w:val="16"/>
              </w:rPr>
              <w:t xml:space="preserve">Night vision standard</w:t>
            </w:r>
          </w:p>
        </w:tc>
        <w:tc>
          <w:tcPr>
            <w:shd w:fill="F5F5F5" w:color="F5F5F5" w:val="clear"/>
          </w:tcPr>
          <w:p>
            <w:pPr>
              <w:jc w:val="center"/>
            </w:pPr>
            <w:r>
              <w:rPr>
                <w:rFonts w:ascii="Arial" w:cs="Arial" w:eastAsia="Arial" w:hAnsi="Arial"/>
                <w:sz w:val="18"/>
                <w:szCs w:val="18"/>
              </w:rPr>
              <w:t xml:space="preserve">Bi-annual</w:t>
            </w:r>
          </w:p>
        </w:tc>
        <w:tc>
          <w:tcPr>
            <w:shd w:fill="F5F5F5" w:color="F5F5F5" w:val="clear"/>
          </w:tcPr>
          <w:p>
            <w:pPr>
              <w:jc w:val="center"/>
            </w:pPr>
            <w:r>
              <w:rPr>
                <w:rFonts w:ascii="Arial" w:cs="Arial" w:eastAsia="Arial" w:hAnsi="Arial"/>
                <w:b/>
                <w:bCs/>
                <w:sz w:val="18"/>
                <w:szCs w:val="18"/>
              </w:rPr>
              <w:t xml:space="preserve">2</w:t>
            </w:r>
          </w:p>
        </w:tc>
        <w:tc>
          <w:tcPr>
            <w:shd w:fill="F5F5F5" w:color="F5F5F5" w:val="clear"/>
          </w:tcPr>
          <w:p>
            <w:pPr>
              <w:jc w:val="center"/>
            </w:pPr>
            <w:r>
              <w:rPr>
                <w:rFonts w:ascii="Arial" w:cs="Arial" w:eastAsia="Arial" w:hAnsi="Arial"/>
                <w:b/>
                <w:bCs/>
                <w:color w:val="C8820A"/>
                <w:sz w:val="18"/>
                <w:szCs w:val="18"/>
              </w:rPr>
              <w:t xml:space="preserve">R233</w:t>
            </w:r>
          </w:p>
        </w:tc>
      </w:tr>
      <w:tr>
        <w:tc>
          <w:p>
            <w:r>
              <w:rPr>
                <w:rFonts w:ascii="Arial" w:cs="Arial" w:eastAsia="Arial" w:hAnsi="Arial"/>
                <w:sz w:val="18"/>
                <w:szCs w:val="18"/>
              </w:rPr>
              <w:t xml:space="preserve">Intercom service</w:t>
            </w:r>
          </w:p>
        </w:tc>
        <w:tc>
          <w:p>
            <w:r>
              <w:rPr>
                <w:rFonts w:ascii="Arial" w:cs="Arial" w:eastAsia="Arial" w:hAnsi="Arial"/>
                <w:color w:val="666666"/>
                <w:sz w:val="16"/>
                <w:szCs w:val="16"/>
              </w:rPr>
              <w:t xml:space="preserve">Speaker · cable · power · video</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DB board thermal scan</w:t>
            </w:r>
          </w:p>
        </w:tc>
        <w:tc>
          <w:tcPr>
            <w:shd w:fill="F5F5F5" w:color="F5F5F5" w:val="clear"/>
          </w:tcPr>
          <w:p>
            <w:r>
              <w:rPr>
                <w:rFonts w:ascii="Arial" w:cs="Arial" w:eastAsia="Arial" w:hAnsi="Arial"/>
                <w:color w:val="666666"/>
                <w:sz w:val="16"/>
                <w:szCs w:val="16"/>
              </w:rPr>
              <w:t xml:space="preserve">SANS 10142 · DOL COC</w:t>
            </w:r>
          </w:p>
        </w:tc>
        <w:tc>
          <w:tcPr>
            <w:shd w:fill="F5F5F5" w:color="F5F5F5" w:val="clear"/>
          </w:tcPr>
          <w:p>
            <w:pPr>
              <w:jc w:val="center"/>
            </w:pPr>
            <w:r>
              <w:rPr>
                <w:rFonts w:ascii="Arial" w:cs="Arial" w:eastAsia="Arial" w:hAnsi="Arial"/>
                <w:sz w:val="18"/>
                <w:szCs w:val="18"/>
              </w:rPr>
              <w:t xml:space="preserve">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R58</w:t>
            </w:r>
          </w:p>
        </w:tc>
      </w:tr>
      <w:tr>
        <w:tc>
          <w:p>
            <w:r>
              <w:rPr>
                <w:rFonts w:ascii="Arial" w:cs="Arial" w:eastAsia="Arial" w:hAnsi="Arial"/>
                <w:sz w:val="18"/>
                <w:szCs w:val="18"/>
              </w:rPr>
              <w:t xml:space="preserve">AC service (per unit)</w:t>
            </w:r>
          </w:p>
        </w:tc>
        <w:tc>
          <w:p>
            <w:r>
              <w:rPr>
                <w:rFonts w:ascii="Arial" w:cs="Arial" w:eastAsia="Arial" w:hAnsi="Arial"/>
                <w:color w:val="666666"/>
                <w:sz w:val="16"/>
                <w:szCs w:val="16"/>
              </w:rPr>
              <w:t xml:space="preserve">Manufacturer warranty req.</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Gutter clean + downpipe check (single storey)</w:t>
            </w:r>
          </w:p>
        </w:tc>
        <w:tc>
          <w:tcPr>
            <w:shd w:fill="F5F5F5" w:color="F5F5F5" w:val="clear"/>
          </w:tcPr>
          <w:p>
            <w:r>
              <w:rPr>
                <w:rFonts w:ascii="Arial" w:cs="Arial" w:eastAsia="Arial" w:hAnsi="Arial"/>
                <w:color w:val="666666"/>
                <w:sz w:val="16"/>
                <w:szCs w:val="16"/>
              </w:rPr>
              <w:t xml:space="preserve">SANS 10400-P</w:t>
            </w:r>
          </w:p>
        </w:tc>
        <w:tc>
          <w:tcPr>
            <w:shd w:fill="F5F5F5" w:color="F5F5F5" w:val="clear"/>
          </w:tcPr>
          <w:p>
            <w:pPr>
              <w:jc w:val="center"/>
            </w:pPr>
            <w:r>
              <w:rPr>
                <w:rFonts w:ascii="Arial" w:cs="Arial" w:eastAsia="Arial" w:hAnsi="Arial"/>
                <w:sz w:val="18"/>
                <w:szCs w:val="18"/>
              </w:rPr>
              <w:t xml:space="preserve">Bi-annual</w:t>
            </w:r>
          </w:p>
        </w:tc>
        <w:tc>
          <w:tcPr>
            <w:shd w:fill="F5F5F5" w:color="F5F5F5" w:val="clear"/>
          </w:tcPr>
          <w:p>
            <w:pPr>
              <w:jc w:val="center"/>
            </w:pPr>
            <w:r>
              <w:rPr>
                <w:rFonts w:ascii="Arial" w:cs="Arial" w:eastAsia="Arial" w:hAnsi="Arial"/>
                <w:b/>
                <w:bCs/>
                <w:sz w:val="18"/>
                <w:szCs w:val="18"/>
              </w:rPr>
              <w:t xml:space="preserve">1</w:t>
            </w:r>
          </w:p>
        </w:tc>
        <w:tc>
          <w:tcPr>
            <w:shd w:fill="F5F5F5" w:color="F5F5F5" w:val="clear"/>
          </w:tcPr>
          <w:p>
            <w:pPr>
              <w:jc w:val="center"/>
            </w:pPr>
            <w:r>
              <w:rPr>
                <w:rFonts w:ascii="Arial" w:cs="Arial" w:eastAsia="Arial" w:hAnsi="Arial"/>
                <w:b/>
                <w:bCs/>
                <w:color w:val="C8820A"/>
                <w:sz w:val="18"/>
                <w:szCs w:val="18"/>
              </w:rPr>
              <w:t xml:space="preserve">R117</w:t>
            </w:r>
          </w:p>
        </w:tc>
      </w:tr>
      <w:tr>
        <w:tc>
          <w:p>
            <w:r>
              <w:rPr>
                <w:rFonts w:ascii="Arial" w:cs="Arial" w:eastAsia="Arial" w:hAnsi="Arial"/>
                <w:sz w:val="18"/>
                <w:szCs w:val="18"/>
              </w:rPr>
              <w:t xml:space="preserve">Roof + waterproofing inspection</w:t>
            </w:r>
          </w:p>
        </w:tc>
        <w:tc>
          <w:p>
            <w:r>
              <w:rPr>
                <w:rFonts w:ascii="Arial" w:cs="Arial" w:eastAsia="Arial" w:hAnsi="Arial"/>
                <w:color w:val="666666"/>
                <w:sz w:val="16"/>
                <w:szCs w:val="16"/>
              </w:rPr>
              <w:t xml:space="preserve">SANS 10400-L · WTASA</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r>
        <w:tc>
          <w:tcPr>
            <w:shd w:fill="F5F5F5" w:color="F5F5F5" w:val="clear"/>
          </w:tcPr>
          <w:p>
            <w:r>
              <w:rPr>
                <w:rFonts w:ascii="Arial" w:cs="Arial" w:eastAsia="Arial" w:hAnsi="Arial"/>
                <w:sz w:val="18"/>
                <w:szCs w:val="18"/>
              </w:rPr>
              <w:t xml:space="preserve">Pool pump + filter service</w:t>
            </w:r>
          </w:p>
        </w:tc>
        <w:tc>
          <w:tcPr>
            <w:shd w:fill="F5F5F5" w:color="F5F5F5" w:val="clear"/>
          </w:tcPr>
          <w:p>
            <w:r>
              <w:rPr>
                <w:rFonts w:ascii="Arial" w:cs="Arial" w:eastAsia="Arial" w:hAnsi="Arial"/>
                <w:color w:val="666666"/>
                <w:sz w:val="16"/>
                <w:szCs w:val="16"/>
              </w:rPr>
              <w:t xml:space="preserve">SANS 10400-D · chemical test</w:t>
            </w:r>
          </w:p>
        </w:tc>
        <w:tc>
          <w:tcPr>
            <w:shd w:fill="F5F5F5" w:color="F5F5F5" w:val="clear"/>
          </w:tcPr>
          <w:p>
            <w:pPr>
              <w:jc w:val="center"/>
            </w:pPr>
            <w:r>
              <w:rPr>
                <w:rFonts w:ascii="Arial" w:cs="Arial" w:eastAsia="Arial" w:hAnsi="Arial"/>
                <w:sz w:val="18"/>
                <w:szCs w:val="18"/>
              </w:rPr>
              <w:t xml:space="preserve">Bi-annual</w:t>
            </w:r>
          </w:p>
        </w:tc>
        <w:tc>
          <w:tcPr>
            <w:shd w:fill="F5F5F5" w:color="F5F5F5" w:val="clear"/>
          </w:tcPr>
          <w:p>
            <w:pPr>
              <w:jc w:val="center"/>
            </w:pPr>
            <w:r>
              <w:rPr>
                <w:rFonts w:ascii="Arial" w:cs="Arial" w:eastAsia="Arial" w:hAnsi="Arial"/>
                <w:b/>
                <w:bCs/>
                <w:sz w:val="18"/>
                <w:szCs w:val="18"/>
              </w:rPr>
              <w:t xml:space="preserve">2</w:t>
            </w:r>
          </w:p>
        </w:tc>
        <w:tc>
          <w:tcPr>
            <w:shd w:fill="F5F5F5" w:color="F5F5F5" w:val="clear"/>
          </w:tcPr>
          <w:p>
            <w:pPr>
              <w:jc w:val="center"/>
            </w:pPr>
            <w:r>
              <w:rPr>
                <w:rFonts w:ascii="Arial" w:cs="Arial" w:eastAsia="Arial" w:hAnsi="Arial"/>
                <w:b/>
                <w:bCs/>
                <w:color w:val="C8820A"/>
                <w:sz w:val="18"/>
                <w:szCs w:val="18"/>
              </w:rPr>
              <w:t xml:space="preserve">R233</w:t>
            </w:r>
          </w:p>
        </w:tc>
      </w:tr>
      <w:tr>
        <w:tc>
          <w:p>
            <w:r>
              <w:rPr>
                <w:rFonts w:ascii="Arial" w:cs="Arial" w:eastAsia="Arial" w:hAnsi="Arial"/>
                <w:sz w:val="18"/>
                <w:szCs w:val="18"/>
              </w:rPr>
              <w:t xml:space="preserve">Irrigation system service</w:t>
            </w:r>
          </w:p>
        </w:tc>
        <w:tc>
          <w:p>
            <w:r>
              <w:rPr>
                <w:rFonts w:ascii="Arial" w:cs="Arial" w:eastAsia="Arial" w:hAnsi="Arial"/>
                <w:color w:val="666666"/>
                <w:sz w:val="16"/>
                <w:szCs w:val="16"/>
              </w:rPr>
              <w:t xml:space="preserve">Solenoid · flow · backflow</w:t>
            </w:r>
          </w:p>
        </w:tc>
        <w:tc>
          <w:p>
            <w:pPr>
              <w:jc w:val="center"/>
            </w:pPr>
            <w:r>
              <w:rPr>
                <w:rFonts w:ascii="Arial" w:cs="Arial" w:eastAsia="Arial" w:hAnsi="Arial"/>
                <w:sz w:val="18"/>
                <w:szCs w:val="18"/>
              </w:rPr>
              <w:t xml:space="preserve">Annual</w:t>
            </w:r>
          </w:p>
        </w:tc>
        <w:tc>
          <w:p>
            <w:pPr>
              <w:jc w:val="center"/>
            </w:pPr>
            <w:r>
              <w:rPr>
                <w:rFonts w:ascii="Arial" w:cs="Arial" w:eastAsia="Arial" w:hAnsi="Arial"/>
                <w:b/>
                <w:bCs/>
                <w:sz w:val="18"/>
                <w:szCs w:val="18"/>
              </w:rPr>
              <w:t xml:space="preserve">1</w:t>
            </w:r>
          </w:p>
        </w:tc>
        <w:tc>
          <w:p>
            <w:pPr>
              <w:jc w:val="center"/>
            </w:pPr>
            <w:r>
              <w:rPr>
                <w:rFonts w:ascii="Arial" w:cs="Arial" w:eastAsia="Arial" w:hAnsi="Arial"/>
                <w:b/>
                <w:bCs/>
                <w:color w:val="C8820A"/>
                <w:sz w:val="18"/>
                <w:szCs w:val="18"/>
              </w:rPr>
              <w:t xml:space="preserve">R58</w:t>
            </w:r>
          </w:p>
        </w:tc>
      </w:tr>
    </w:tbl>
    <w:p>
      <w:pPr>
        <w:spacing w:before="40" w:after="40"/>
      </w:pPr>
      <w:r>
        <w:t xml:space="preserve"/>
      </w:r>
    </w:p>
    <w:p>
      <w:pPr>
        <w:spacing w:before="60" w:after="60"/>
        <w:jc w:val="both"/>
      </w:pPr>
      <w:r>
        <w:rPr>
          <w:rFonts w:ascii="Arial" w:cs="Arial" w:eastAsia="Arial" w:hAnsi="Arial"/>
          <w:sz w:val="22"/>
          <w:szCs w:val="22"/>
        </w:rPr>
        <w:t xml:space="preserve">Notes: (1) Solar bundle rate is per 8 panels — each additional set of 8 panels adds R117/month. (2) AC bundle is per unit — each additional unit adds R58/month. (3) Gutter bundle is for single-storey — double-storey adds R117/month.</w:t>
      </w:r>
    </w:p>
    <w:p>
      <w:pPr>
        <w:pBdr>
          <w:bottom w:val="single" w:color="DDDDDD" w:sz="6"/>
        </w:pBdr>
        <w:spacing w:before="120" w:after="120"/>
      </w:pPr>
    </w:p>
    <w:p>
      <w:pPr>
        <w:pStyle w:val="Heading1"/>
        <w:spacing w:before="360" w:after="120"/>
      </w:pPr>
      <w:r>
        <w:rPr>
          <w:rFonts w:ascii="Arial" w:cs="Arial" w:eastAsia="Arial" w:hAnsi="Arial"/>
          <w:b/>
          <w:bCs/>
          <w:color w:val="1A1A2E"/>
          <w:sz w:val="28"/>
          <w:szCs w:val="28"/>
        </w:rPr>
        <w:t xml:space="preserve">Acceptance</w:t>
      </w:r>
    </w:p>
    <w:p>
      <w:pPr>
        <w:spacing w:before="60" w:after="60"/>
        <w:jc w:val="both"/>
      </w:pPr>
      <w:r>
        <w:rPr>
          <w:rFonts w:ascii="Arial" w:cs="Arial" w:eastAsia="Arial" w:hAnsi="Arial"/>
          <w:sz w:val="22"/>
          <w:szCs w:val="22"/>
        </w:rPr>
        <w:t xml:space="preserve">By subscribing to HomeGuard Pro via the Platform, the Member confirms they have read, understood, and accepted these Terms and Conditions in full.</w:t>
      </w:r>
    </w:p>
    <w:p>
      <w:pPr>
        <w:spacing w:before="40" w:after="40"/>
      </w:pPr>
      <w:r>
        <w:t xml:space="preserve"/>
      </w:r>
    </w:p>
    <w:p>
      <w:pPr>
        <w:spacing w:before="60" w:after="60"/>
        <w:jc w:val="both"/>
      </w:pPr>
      <w:r>
        <w:rPr>
          <w:rFonts w:ascii="Arial" w:cs="Arial" w:eastAsia="Arial" w:hAnsi="Arial"/>
          <w:sz w:val="22"/>
          <w:szCs w:val="22"/>
        </w:rPr>
        <w:t xml:space="preserve">HomeGuard Pro (Pty) Ltd — RCE Electrical &amp; Plumbing Services</w:t>
      </w:r>
    </w:p>
    <w:p>
      <w:pPr>
        <w:spacing w:before="60" w:after="60"/>
        <w:jc w:val="both"/>
      </w:pPr>
      <w:r>
        <w:rPr>
          <w:rFonts w:ascii="Arial" w:cs="Arial" w:eastAsia="Arial" w:hAnsi="Arial"/>
          <w:sz w:val="22"/>
          <w:szCs w:val="22"/>
        </w:rPr>
        <w:t xml:space="preserve">hello@homeguardpro.co.za | 072 325 2111 | homeguardpro.co.za</w:t>
      </w:r>
    </w:p>
    <w:p>
      <w:pPr>
        <w:spacing w:before="60" w:after="60"/>
        <w:jc w:val="both"/>
      </w:pPr>
      <w:r>
        <w:rPr>
          <w:rFonts w:ascii="Arial" w:cs="Arial" w:eastAsia="Arial" w:hAnsi="Arial"/>
          <w:sz w:val="22"/>
          <w:szCs w:val="22"/>
        </w:rPr>
        <w:t xml:space="preserve">Version 2.0 — Effective 1 April 2026</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HomeGuard Pro (Pty) Ltd — RCE Electrical &amp; Plumbing Services   |   hello@homeguardpro.co.za   |   072 325 2111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2E"/>
      <w:sz w:val="28"/>
      <w:szCs w:val="28"/>
    </w:rPr>
  </w:style>
  <w:style w:type="paragraph" w:styleId="Heading2">
    <w:name w:val="Heading 2"/>
    <w:basedOn w:val="Normal"/>
    <w:next w:val="Normal"/>
    <w:qFormat/>
    <w:pPr>
      <w:spacing w:before="280" w:after="80"/>
      <w:outlineLvl w:val="1"/>
    </w:pPr>
    <w:rPr>
      <w:rFonts w:ascii="Arial" w:cs="Arial" w:eastAsia="Arial" w:hAnsi="Arial"/>
      <w:b/>
      <w:bCs/>
      <w:color w:val="C8820A"/>
      <w:sz w:val="24"/>
      <w:szCs w:val="24"/>
    </w:rPr>
  </w:style>
  <w:style w:type="paragraph" w:styleId="Heading3">
    <w:name w:val="Heading 3"/>
    <w:basedOn w:val="Normal"/>
    <w:next w:val="Normal"/>
    <w:qFormat/>
    <w:pPr>
      <w:spacing w:before="200" w:after="6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2026-03-26T20:47:58.582Z</dcterms:created>
  <dcterms:modified xsi:type="dcterms:W3CDTF">2026-03-26T20:47:58.582Z</dcterms:modified>
</cp:coreProperties>
</file>

<file path=docProps/custom.xml><?xml version="1.0" encoding="utf-8"?>
<Properties xmlns="http://schemas.openxmlformats.org/officeDocument/2006/custom-properties" xmlns:vt="http://schemas.openxmlformats.org/officeDocument/2006/docPropsVTypes"/>
</file>